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rPr>
      </w:pPr>
    </w:p>
    <w:p>
      <w:pPr>
        <w:jc w:val="center"/>
        <w:rPr>
          <w:rFonts w:ascii="Times New Roman" w:hAnsi="Times New Roman" w:eastAsia="方正小标宋简体" w:cs="Times New Roman"/>
          <w:bCs/>
          <w:color w:val="000000"/>
          <w:kern w:val="0"/>
          <w:sz w:val="44"/>
          <w:szCs w:val="44"/>
        </w:rPr>
      </w:pPr>
      <w:r>
        <w:rPr>
          <w:rFonts w:hint="eastAsia" w:ascii="Times New Roman" w:hAnsi="Times New Roman" w:eastAsia="方正小标宋简体"/>
          <w:bCs/>
          <w:color w:val="000000"/>
          <w:kern w:val="0"/>
          <w:sz w:val="44"/>
          <w:szCs w:val="44"/>
        </w:rPr>
        <w:t>承</w:t>
      </w:r>
      <w:r>
        <w:rPr>
          <w:rFonts w:ascii="Times New Roman" w:hAnsi="Times New Roman" w:eastAsia="方正小标宋简体"/>
          <w:bCs/>
          <w:color w:val="000000"/>
          <w:kern w:val="0"/>
          <w:sz w:val="44"/>
          <w:szCs w:val="44"/>
        </w:rPr>
        <w:t xml:space="preserve"> </w:t>
      </w:r>
      <w:r>
        <w:rPr>
          <w:rFonts w:hint="eastAsia" w:ascii="Times New Roman" w:hAnsi="Times New Roman" w:eastAsia="方正小标宋简体"/>
          <w:bCs/>
          <w:color w:val="000000"/>
          <w:kern w:val="0"/>
          <w:sz w:val="44"/>
          <w:szCs w:val="44"/>
        </w:rPr>
        <w:t>诺</w:t>
      </w:r>
      <w:r>
        <w:rPr>
          <w:rFonts w:ascii="Times New Roman" w:hAnsi="Times New Roman" w:eastAsia="方正小标宋简体"/>
          <w:bCs/>
          <w:color w:val="000000"/>
          <w:kern w:val="0"/>
          <w:sz w:val="44"/>
          <w:szCs w:val="44"/>
        </w:rPr>
        <w:t xml:space="preserve"> </w:t>
      </w:r>
      <w:r>
        <w:rPr>
          <w:rFonts w:hint="eastAsia" w:ascii="Times New Roman" w:hAnsi="Times New Roman" w:eastAsia="方正小标宋简体"/>
          <w:bCs/>
          <w:color w:val="000000"/>
          <w:kern w:val="0"/>
          <w:sz w:val="44"/>
          <w:szCs w:val="44"/>
        </w:rPr>
        <w:t>书</w:t>
      </w:r>
    </w:p>
    <w:p>
      <w:pPr>
        <w:spacing w:line="590" w:lineRule="exact"/>
        <w:rPr>
          <w:rFonts w:ascii="Times New Roman" w:hAnsi="Times New Roman"/>
          <w:szCs w:val="32"/>
        </w:rPr>
      </w:pPr>
      <w:r>
        <w:rPr>
          <w:rFonts w:hint="eastAsia" w:ascii="Times New Roman" w:hAnsi="Times New Roman"/>
          <w:bCs/>
          <w:szCs w:val="32"/>
        </w:rPr>
        <w:t>成都锦融融资租赁股份有限公司</w:t>
      </w:r>
      <w:r>
        <w:rPr>
          <w:rFonts w:hint="eastAsia" w:ascii="Times New Roman" w:hAnsi="Times New Roman"/>
          <w:szCs w:val="32"/>
        </w:rPr>
        <w:t>：</w:t>
      </w:r>
    </w:p>
    <w:p>
      <w:pPr>
        <w:spacing w:line="590" w:lineRule="exact"/>
        <w:ind w:firstLine="640" w:firstLineChars="200"/>
        <w:rPr>
          <w:rFonts w:ascii="Times New Roman" w:hAnsi="Times New Roman"/>
          <w:szCs w:val="32"/>
        </w:rPr>
      </w:pPr>
      <w:r>
        <w:rPr>
          <w:rFonts w:hint="eastAsia" w:ascii="Times New Roman" w:hAnsi="Times New Roman"/>
          <w:szCs w:val="32"/>
        </w:rPr>
        <w:t>本企业自愿参加贵司组织的</w:t>
      </w:r>
      <w:r>
        <w:rPr>
          <w:rFonts w:hint="eastAsia" w:ascii="Times New Roman" w:hAnsi="Times New Roman"/>
          <w:szCs w:val="32"/>
          <w:u w:val="single"/>
        </w:rPr>
        <w:t>成都锦融融资租赁股份有限公司2023-2024年度资产评估机构备选库项目</w:t>
      </w:r>
      <w:r>
        <w:rPr>
          <w:rFonts w:hint="eastAsia" w:ascii="Times New Roman" w:hAnsi="Times New Roman"/>
          <w:szCs w:val="32"/>
        </w:rPr>
        <w:t>，并保证比选文件中所列举文件及相关资料和企业基本情况资料是真实的、有效的、合法的。为此，本企业承诺如下：</w:t>
      </w:r>
    </w:p>
    <w:p>
      <w:pPr>
        <w:spacing w:line="590" w:lineRule="exact"/>
        <w:ind w:firstLine="640" w:firstLineChars="200"/>
        <w:rPr>
          <w:rFonts w:ascii="Times New Roman" w:hAnsi="Times New Roman" w:cs="Times New Roman"/>
          <w:szCs w:val="32"/>
        </w:rPr>
      </w:pPr>
      <w:r>
        <w:rPr>
          <w:rFonts w:hint="eastAsia" w:ascii="仿宋_GB2312" w:hAnsi="仿宋_GB2312" w:cs="仿宋_GB2312"/>
          <w:szCs w:val="32"/>
        </w:rPr>
        <w:t>一、</w:t>
      </w:r>
      <w:r>
        <w:rPr>
          <w:rFonts w:ascii="Times New Roman" w:hAnsi="Times New Roman" w:cs="Times New Roman"/>
          <w:szCs w:val="32"/>
        </w:rPr>
        <w:t>依法注册成立满3年（发生合并或更名的执业时间可连续计算），具备行业主管部门颁发的有效执业资格；</w:t>
      </w:r>
    </w:p>
    <w:p>
      <w:pPr>
        <w:spacing w:line="590" w:lineRule="exact"/>
        <w:ind w:firstLine="640" w:firstLineChars="200"/>
        <w:rPr>
          <w:rFonts w:ascii="Times New Roman" w:hAnsi="Times New Roman" w:cs="Times New Roman"/>
        </w:rPr>
      </w:pPr>
      <w:r>
        <w:rPr>
          <w:rFonts w:ascii="Times New Roman" w:hAnsi="Times New Roman" w:cs="Times New Roman"/>
        </w:rPr>
        <w:t>二、2022年资产评估机构综合评价结果，获得AA级及以上评价，且为四川省资产评估协会会员；</w:t>
      </w:r>
    </w:p>
    <w:p>
      <w:pPr>
        <w:spacing w:line="590" w:lineRule="exact"/>
        <w:ind w:firstLine="640" w:firstLineChars="200"/>
        <w:rPr>
          <w:rFonts w:ascii="Times New Roman" w:hAnsi="Times New Roman" w:cs="Times New Roman"/>
          <w:szCs w:val="32"/>
        </w:rPr>
      </w:pPr>
      <w:r>
        <w:rPr>
          <w:rFonts w:ascii="Times New Roman" w:hAnsi="Times New Roman" w:cs="Times New Roman"/>
          <w:szCs w:val="32"/>
        </w:rPr>
        <w:t>三、在成都市设有常驻机构，且具有与开展评估业务相适应的经营场所和固定办公地点；</w:t>
      </w:r>
    </w:p>
    <w:p>
      <w:pPr>
        <w:spacing w:line="590" w:lineRule="exact"/>
        <w:ind w:firstLine="640" w:firstLineChars="200"/>
        <w:rPr>
          <w:rFonts w:ascii="Times New Roman" w:hAnsi="Times New Roman" w:cs="Times New Roman"/>
          <w:szCs w:val="32"/>
        </w:rPr>
      </w:pPr>
      <w:r>
        <w:rPr>
          <w:rFonts w:hint="eastAsia" w:ascii="Times New Roman" w:hAnsi="Times New Roman" w:cs="Times New Roman"/>
          <w:szCs w:val="32"/>
        </w:rPr>
        <w:t>四</w:t>
      </w:r>
      <w:r>
        <w:rPr>
          <w:rFonts w:ascii="Times New Roman" w:hAnsi="Times New Roman" w:cs="Times New Roman"/>
          <w:szCs w:val="32"/>
        </w:rPr>
        <w:t>、具有规范和完善的评估业务质量控制制度、风险控制制度及健全的内部管理制度；</w:t>
      </w:r>
    </w:p>
    <w:p>
      <w:pPr>
        <w:spacing w:line="590" w:lineRule="exact"/>
        <w:ind w:firstLine="640" w:firstLineChars="200"/>
        <w:rPr>
          <w:rFonts w:ascii="Times New Roman" w:hAnsi="Times New Roman" w:cs="Times New Roman"/>
          <w:szCs w:val="32"/>
        </w:rPr>
      </w:pPr>
      <w:r>
        <w:rPr>
          <w:rFonts w:hint="eastAsia" w:ascii="Times New Roman" w:hAnsi="Times New Roman" w:cs="Times New Roman"/>
          <w:szCs w:val="32"/>
        </w:rPr>
        <w:t>五</w:t>
      </w:r>
      <w:r>
        <w:rPr>
          <w:rFonts w:ascii="Times New Roman" w:hAnsi="Times New Roman" w:cs="Times New Roman"/>
          <w:szCs w:val="32"/>
        </w:rPr>
        <w:t>、具有良好的社会信誉，在承办企业资产评估工作中没有出现不良执业记录和重大质量问题，且近3年没有被司法行政管理部门或资产评估协会给予行政处罚或行业处分的记录；</w:t>
      </w:r>
    </w:p>
    <w:p>
      <w:pPr>
        <w:spacing w:line="590" w:lineRule="exact"/>
        <w:ind w:firstLine="640" w:firstLineChars="200"/>
        <w:rPr>
          <w:rFonts w:ascii="仿宋_GB2312" w:hAnsi="仿宋_GB2312" w:cs="仿宋_GB2312"/>
          <w:szCs w:val="32"/>
        </w:rPr>
      </w:pPr>
      <w:r>
        <w:rPr>
          <w:rFonts w:hint="eastAsia" w:ascii="仿宋_GB2312" w:hAnsi="仿宋_GB2312" w:cs="仿宋_GB2312"/>
          <w:szCs w:val="32"/>
        </w:rPr>
        <w:t>六、具有</w:t>
      </w:r>
      <w:r>
        <w:rPr>
          <w:rFonts w:ascii="Times New Roman" w:hAnsi="Times New Roman" w:cs="Times New Roman"/>
          <w:szCs w:val="32"/>
        </w:rPr>
        <w:t>5</w:t>
      </w:r>
      <w:r>
        <w:rPr>
          <w:rFonts w:hint="eastAsia" w:ascii="仿宋_GB2312" w:hAnsi="仿宋_GB2312" w:cs="仿宋_GB2312"/>
          <w:szCs w:val="32"/>
        </w:rPr>
        <w:t>名以上（含）专职执业注册评估师，具有良好的职业道德，并有连续三年（含）以上相关领域从业经历；</w:t>
      </w:r>
    </w:p>
    <w:p>
      <w:pPr>
        <w:spacing w:line="590" w:lineRule="exact"/>
        <w:ind w:firstLine="640" w:firstLineChars="200"/>
      </w:pPr>
      <w:r>
        <w:rPr>
          <w:rFonts w:hint="eastAsia"/>
        </w:rPr>
        <w:t>七、</w:t>
      </w:r>
      <w:r>
        <w:rPr>
          <w:rFonts w:hint="eastAsia" w:ascii="仿宋_GB2312" w:hAnsi="仿宋_GB2312" w:cs="仿宋_GB2312"/>
          <w:szCs w:val="32"/>
        </w:rPr>
        <w:t>未列入贵司《供应商负面清单》或列入负面清单已满三年</w:t>
      </w:r>
      <w:r>
        <w:rPr>
          <w:rFonts w:hint="eastAsia"/>
        </w:rPr>
        <w:t>（</w:t>
      </w:r>
      <w:r>
        <w:rPr>
          <w:rFonts w:hint="eastAsia" w:ascii="仿宋_GB2312" w:hAnsi="仿宋_GB2312" w:cs="仿宋_GB2312"/>
          <w:szCs w:val="32"/>
        </w:rPr>
        <w:t>含益民集团、锦融投控的负面清单）</w:t>
      </w:r>
      <w:r>
        <w:rPr>
          <w:rFonts w:hint="eastAsia" w:ascii="Times New Roman" w:hAnsi="Times New Roman"/>
          <w:color w:val="000000" w:themeColor="text1"/>
          <w:szCs w:val="32"/>
          <w14:textFill>
            <w14:solidFill>
              <w14:schemeClr w14:val="tx1"/>
            </w14:solidFill>
          </w14:textFill>
        </w:rPr>
        <w:t>；</w:t>
      </w:r>
    </w:p>
    <w:p>
      <w:pPr>
        <w:spacing w:line="590" w:lineRule="exact"/>
        <w:ind w:firstLine="640" w:firstLineChars="200"/>
      </w:pPr>
      <w:r>
        <w:rPr>
          <w:rFonts w:hint="eastAsia"/>
        </w:rPr>
        <w:t>八、</w:t>
      </w:r>
      <w:r>
        <w:rPr>
          <w:rFonts w:hint="eastAsia" w:ascii="Times New Roman" w:hAnsi="Times New Roman" w:cs="Times New Roman"/>
          <w:szCs w:val="32"/>
        </w:rPr>
        <w:t>非</w:t>
      </w:r>
      <w:r>
        <w:rPr>
          <w:rFonts w:ascii="Times New Roman" w:hAnsi="Times New Roman" w:cs="Times New Roman"/>
          <w:szCs w:val="32"/>
          <w:lang w:val="zh-CN"/>
        </w:rPr>
        <w:t>联合体参加比选</w:t>
      </w:r>
      <w:r>
        <w:rPr>
          <w:rFonts w:hint="eastAsia" w:ascii="Times New Roman" w:hAnsi="Times New Roman" w:cs="Times New Roman"/>
          <w:szCs w:val="32"/>
          <w:lang w:val="zh-CN"/>
        </w:rPr>
        <w:t>；</w:t>
      </w:r>
    </w:p>
    <w:p>
      <w:pPr>
        <w:spacing w:line="590" w:lineRule="exact"/>
        <w:ind w:firstLine="640" w:firstLineChars="200"/>
        <w:rPr>
          <w:rFonts w:ascii="Times New Roman" w:hAnsi="Times New Roman"/>
          <w:szCs w:val="32"/>
        </w:rPr>
      </w:pPr>
      <w:r>
        <w:rPr>
          <w:rFonts w:hint="eastAsia" w:ascii="Times New Roman" w:hAnsi="Times New Roman"/>
          <w:szCs w:val="32"/>
        </w:rPr>
        <w:t>九、能够保守被服务企业的商业秘密，维护被服务企业的利益；</w:t>
      </w:r>
    </w:p>
    <w:p>
      <w:pPr>
        <w:spacing w:line="590" w:lineRule="exact"/>
        <w:ind w:firstLine="640" w:firstLineChars="200"/>
        <w:rPr>
          <w:rFonts w:ascii="Times New Roman" w:hAnsi="Times New Roman"/>
          <w:szCs w:val="32"/>
        </w:rPr>
      </w:pPr>
      <w:r>
        <w:rPr>
          <w:rFonts w:hint="eastAsia" w:ascii="Times New Roman" w:hAnsi="Times New Roman"/>
          <w:szCs w:val="32"/>
        </w:rPr>
        <w:t>十、本单位参与本次比选，保证不存在以下情形：</w:t>
      </w:r>
    </w:p>
    <w:p>
      <w:pPr>
        <w:spacing w:line="590" w:lineRule="exact"/>
        <w:ind w:firstLine="640" w:firstLineChars="200"/>
        <w:rPr>
          <w:rFonts w:ascii="Times New Roman" w:hAnsi="Times New Roman"/>
          <w:szCs w:val="32"/>
        </w:rPr>
      </w:pPr>
      <w:r>
        <w:rPr>
          <w:rFonts w:hint="eastAsia" w:ascii="Times New Roman" w:hAnsi="Times New Roman"/>
          <w:szCs w:val="32"/>
        </w:rPr>
        <w:t>（一）弄虚作假、恶意串通、围标竞标、营私舞弊等不诚信行为；</w:t>
      </w:r>
    </w:p>
    <w:p>
      <w:pPr>
        <w:spacing w:line="590" w:lineRule="exact"/>
        <w:ind w:firstLine="640" w:firstLineChars="200"/>
        <w:rPr>
          <w:rFonts w:ascii="Times New Roman" w:hAnsi="Times New Roman"/>
          <w:szCs w:val="32"/>
        </w:rPr>
      </w:pPr>
      <w:r>
        <w:rPr>
          <w:rFonts w:hint="eastAsia" w:ascii="Times New Roman" w:hAnsi="Times New Roman"/>
          <w:szCs w:val="32"/>
        </w:rPr>
        <w:t>（二）出具虚假或失实业务报告；</w:t>
      </w:r>
    </w:p>
    <w:p>
      <w:pPr>
        <w:spacing w:line="590" w:lineRule="exact"/>
        <w:ind w:firstLine="640" w:firstLineChars="200"/>
        <w:rPr>
          <w:rFonts w:ascii="Times New Roman" w:hAnsi="Times New Roman"/>
          <w:szCs w:val="32"/>
        </w:rPr>
      </w:pPr>
      <w:r>
        <w:rPr>
          <w:rFonts w:hint="eastAsia" w:ascii="Times New Roman" w:hAnsi="Times New Roman"/>
          <w:szCs w:val="32"/>
        </w:rPr>
        <w:t>（三）向任何第三方泄露本次比选相关信息，披露获得的或收到的任何文件资料及非公开信息；</w:t>
      </w:r>
    </w:p>
    <w:p>
      <w:pPr>
        <w:spacing w:line="590" w:lineRule="exact"/>
        <w:ind w:firstLine="640" w:firstLineChars="200"/>
        <w:rPr>
          <w:rFonts w:ascii="Times New Roman" w:hAnsi="Times New Roman"/>
          <w:szCs w:val="32"/>
        </w:rPr>
      </w:pPr>
      <w:r>
        <w:rPr>
          <w:rFonts w:hint="eastAsia" w:ascii="Times New Roman" w:hAnsi="Times New Roman"/>
          <w:szCs w:val="32"/>
        </w:rPr>
        <w:t>（四）采取不正当手段诋毁、排挤其他申请人，与其它申请人恶意串通；</w:t>
      </w:r>
    </w:p>
    <w:p>
      <w:pPr>
        <w:spacing w:line="590" w:lineRule="exact"/>
        <w:ind w:firstLine="640" w:firstLineChars="200"/>
        <w:rPr>
          <w:rFonts w:ascii="Times New Roman" w:hAnsi="Times New Roman"/>
          <w:szCs w:val="32"/>
        </w:rPr>
      </w:pPr>
      <w:r>
        <w:rPr>
          <w:rFonts w:hint="eastAsia" w:ascii="Times New Roman" w:hAnsi="Times New Roman"/>
          <w:szCs w:val="32"/>
        </w:rPr>
        <w:t>（五）向比选人行贿或者提供其他不正当利益；</w:t>
      </w:r>
    </w:p>
    <w:p>
      <w:pPr>
        <w:spacing w:line="590" w:lineRule="exact"/>
        <w:ind w:firstLine="640" w:firstLineChars="200"/>
        <w:rPr>
          <w:rFonts w:ascii="Times New Roman" w:hAnsi="Times New Roman"/>
          <w:szCs w:val="32"/>
        </w:rPr>
      </w:pPr>
      <w:r>
        <w:rPr>
          <w:rFonts w:hint="eastAsia" w:ascii="Times New Roman" w:hAnsi="Times New Roman"/>
          <w:szCs w:val="32"/>
        </w:rPr>
        <w:t>（六）拒绝有关部门监督检查等其他违规行为。</w:t>
      </w:r>
    </w:p>
    <w:p>
      <w:pPr>
        <w:spacing w:line="590" w:lineRule="exact"/>
      </w:pPr>
    </w:p>
    <w:p>
      <w:pPr>
        <w:spacing w:line="590" w:lineRule="exact"/>
      </w:pPr>
    </w:p>
    <w:p>
      <w:pPr>
        <w:spacing w:line="590" w:lineRule="exact"/>
        <w:ind w:firstLine="3840" w:firstLineChars="1200"/>
        <w:rPr>
          <w:rFonts w:ascii="Times New Roman" w:hAnsi="Times New Roman"/>
          <w:szCs w:val="32"/>
        </w:rPr>
      </w:pPr>
      <w:r>
        <w:rPr>
          <w:rFonts w:hint="eastAsia" w:ascii="Times New Roman" w:hAnsi="Times New Roman"/>
          <w:szCs w:val="32"/>
        </w:rPr>
        <w:t>比选申请人名称（盖章）：</w:t>
      </w:r>
    </w:p>
    <w:p>
      <w:pPr>
        <w:spacing w:line="590" w:lineRule="exact"/>
        <w:rPr>
          <w:rFonts w:ascii="Times New Roman" w:hAnsi="Times New Roman"/>
          <w:szCs w:val="32"/>
        </w:rPr>
      </w:pPr>
      <w:r>
        <w:rPr>
          <w:rFonts w:hint="eastAsia" w:ascii="Times New Roman" w:hAnsi="Times New Roman"/>
          <w:szCs w:val="32"/>
        </w:rPr>
        <w:t>法定代表人（负责人）或授权委托人（签字或盖章）：</w:t>
      </w:r>
    </w:p>
    <w:p>
      <w:pPr>
        <w:spacing w:line="590" w:lineRule="exact"/>
        <w:rPr>
          <w:rFonts w:ascii="Times New Roman" w:hAnsi="Times New Roman"/>
          <w:szCs w:val="32"/>
        </w:rPr>
      </w:pPr>
    </w:p>
    <w:p>
      <w:pPr>
        <w:spacing w:line="590" w:lineRule="exact"/>
        <w:ind w:firstLine="320" w:firstLineChars="100"/>
        <w:jc w:val="right"/>
      </w:pPr>
      <w:r>
        <w:rPr>
          <w:rFonts w:hint="eastAsia" w:ascii="Times New Roman" w:hAnsi="Times New Roman"/>
          <w:szCs w:val="32"/>
        </w:rPr>
        <w:t>年</w:t>
      </w:r>
      <w:r>
        <w:rPr>
          <w:rFonts w:ascii="Times New Roman" w:hAnsi="Times New Roman"/>
          <w:szCs w:val="32"/>
        </w:rPr>
        <w:t xml:space="preserve">   </w:t>
      </w:r>
      <w:r>
        <w:rPr>
          <w:rFonts w:hint="eastAsia" w:ascii="Times New Roman" w:hAnsi="Times New Roman"/>
          <w:szCs w:val="32"/>
        </w:rPr>
        <w:t>月</w:t>
      </w:r>
      <w:r>
        <w:rPr>
          <w:rFonts w:ascii="Times New Roman" w:hAnsi="Times New Roman"/>
          <w:szCs w:val="32"/>
        </w:rPr>
        <w:t xml:space="preserve">   </w:t>
      </w:r>
      <w:r>
        <w:rPr>
          <w:rFonts w:hint="eastAsia" w:ascii="Times New Roman" w:hAnsi="Times New Roman"/>
          <w:szCs w:val="32"/>
        </w:rPr>
        <w:t>日</w:t>
      </w:r>
      <w:bookmarkStart w:id="0" w:name="_GoBack"/>
      <w:bookmarkEnd w:id="0"/>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-199390</wp:posOffset>
              </wp:positionV>
              <wp:extent cx="1159510" cy="34607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15951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0" w:firstLineChars="0"/>
                            <w:rPr>
                              <w:rFonts w:ascii="宋体" w:hAnsi="宋体" w:cs="宋体"/>
                              <w:sz w:val="28"/>
                              <w:szCs w:val="28"/>
                              <w:lang w:val="en-US"/>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5.7pt;height:27.25pt;width:91.3pt;mso-position-horizontal:right;mso-position-horizontal-relative:margin;z-index:251659264;mso-width-relative:page;mso-height-relative:page;" filled="f" stroked="f" coordsize="21600,21600" o:gfxdata="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bJl+j1gAAAAcBAAAPAAAAAAAAAAEAIAAAACIAAABkcnMvZG93bnJldi54bWxQ&#10;SwECFAAUAAAACACHTuJA5sc1bTICAABWBAAADgAAAAAAAAABACAAAAAlAQAAZHJzL2Uyb0RvYy54&#10;bWxQSwUGAAAAAAYABgBZAQAAyQUAAAAA&#10;">
              <v:fill on="f" focussize="0,0"/>
              <v:stroke on="f" weight="0.5pt"/>
              <v:imagedata o:title=""/>
              <o:lock v:ext="edit" aspectratio="f"/>
              <v:textbox inset="0mm,0mm,0mm,0mm">
                <w:txbxContent>
                  <w:p>
                    <w:pPr>
                      <w:pStyle w:val="10"/>
                      <w:ind w:firstLine="0" w:firstLineChars="0"/>
                      <w:rPr>
                        <w:rFonts w:ascii="宋体" w:hAnsi="宋体" w:cs="宋体"/>
                        <w:sz w:val="28"/>
                        <w:szCs w:val="28"/>
                        <w:lang w:val="en-US"/>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yZmU3MWEzMDVhNjI1MGI5MTkzYzgxODY4ODcyNDUifQ=="/>
  </w:docVars>
  <w:rsids>
    <w:rsidRoot w:val="45BC7006"/>
    <w:rsid w:val="00031D7C"/>
    <w:rsid w:val="001176E2"/>
    <w:rsid w:val="00135208"/>
    <w:rsid w:val="00154DD6"/>
    <w:rsid w:val="001F5CA3"/>
    <w:rsid w:val="0022409F"/>
    <w:rsid w:val="00275DF0"/>
    <w:rsid w:val="00320EB5"/>
    <w:rsid w:val="003F05A9"/>
    <w:rsid w:val="003F0D2C"/>
    <w:rsid w:val="00461B98"/>
    <w:rsid w:val="004A72F6"/>
    <w:rsid w:val="00510D6D"/>
    <w:rsid w:val="00540CAD"/>
    <w:rsid w:val="005F3FD5"/>
    <w:rsid w:val="006020EB"/>
    <w:rsid w:val="00781BCD"/>
    <w:rsid w:val="007F4FFC"/>
    <w:rsid w:val="008300B9"/>
    <w:rsid w:val="00867D96"/>
    <w:rsid w:val="008A462E"/>
    <w:rsid w:val="00911A63"/>
    <w:rsid w:val="00984C45"/>
    <w:rsid w:val="009B1AD9"/>
    <w:rsid w:val="00A46C3C"/>
    <w:rsid w:val="00AC4F0A"/>
    <w:rsid w:val="00B2308A"/>
    <w:rsid w:val="00B76D75"/>
    <w:rsid w:val="00C308B6"/>
    <w:rsid w:val="00CB2F99"/>
    <w:rsid w:val="00CE501A"/>
    <w:rsid w:val="00DA3BA0"/>
    <w:rsid w:val="00DC76AE"/>
    <w:rsid w:val="00DF7847"/>
    <w:rsid w:val="00E20A51"/>
    <w:rsid w:val="00F13553"/>
    <w:rsid w:val="00F321B1"/>
    <w:rsid w:val="00FA11CC"/>
    <w:rsid w:val="04CF0F34"/>
    <w:rsid w:val="0B7A5A9E"/>
    <w:rsid w:val="0B9E54A9"/>
    <w:rsid w:val="10F92125"/>
    <w:rsid w:val="111F6D50"/>
    <w:rsid w:val="15C478ED"/>
    <w:rsid w:val="176E1D73"/>
    <w:rsid w:val="191A1041"/>
    <w:rsid w:val="1C9C61DF"/>
    <w:rsid w:val="1EFC4C0E"/>
    <w:rsid w:val="2157342D"/>
    <w:rsid w:val="22CA5936"/>
    <w:rsid w:val="25077A43"/>
    <w:rsid w:val="25265C63"/>
    <w:rsid w:val="2937575D"/>
    <w:rsid w:val="298C5986"/>
    <w:rsid w:val="2D104627"/>
    <w:rsid w:val="31DA665A"/>
    <w:rsid w:val="32AC6237"/>
    <w:rsid w:val="3E7569E0"/>
    <w:rsid w:val="45A838A5"/>
    <w:rsid w:val="45BC7006"/>
    <w:rsid w:val="462E5C06"/>
    <w:rsid w:val="49BE7F0A"/>
    <w:rsid w:val="4AF339B0"/>
    <w:rsid w:val="4DB114FD"/>
    <w:rsid w:val="4EA2112B"/>
    <w:rsid w:val="4EBF242A"/>
    <w:rsid w:val="5976001B"/>
    <w:rsid w:val="5AE5471C"/>
    <w:rsid w:val="5B1B26FF"/>
    <w:rsid w:val="5E7E6D93"/>
    <w:rsid w:val="60282E54"/>
    <w:rsid w:val="618264E1"/>
    <w:rsid w:val="627D0221"/>
    <w:rsid w:val="62E801CA"/>
    <w:rsid w:val="65880FE4"/>
    <w:rsid w:val="6ADE16A3"/>
    <w:rsid w:val="6BA0659B"/>
    <w:rsid w:val="6D495ED9"/>
    <w:rsid w:val="6F6755CC"/>
    <w:rsid w:val="7DF8B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rPr>
  </w:style>
  <w:style w:type="paragraph" w:styleId="2">
    <w:name w:val="heading 3"/>
    <w:basedOn w:val="1"/>
    <w:next w:val="1"/>
    <w:unhideWhenUsed/>
    <w:qFormat/>
    <w:uiPriority w:val="0"/>
    <w:pPr>
      <w:keepNext/>
      <w:keepLines/>
      <w:spacing w:before="260" w:after="260" w:line="413" w:lineRule="auto"/>
      <w:outlineLvl w:val="2"/>
    </w:pPr>
    <w:rPr>
      <w:b/>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qFormat/>
    <w:uiPriority w:val="0"/>
    <w:pPr>
      <w:jc w:val="left"/>
    </w:pPr>
  </w:style>
  <w:style w:type="paragraph" w:styleId="7">
    <w:name w:val="Body Text Indent"/>
    <w:basedOn w:val="1"/>
    <w:unhideWhenUsed/>
    <w:qFormat/>
    <w:uiPriority w:val="99"/>
    <w:pPr>
      <w:ind w:left="420" w:leftChars="200"/>
    </w:pPr>
    <w:rPr>
      <w:rFonts w:ascii="Times New Roman" w:hAnsi="Times New Roman" w:eastAsia="方正仿宋简体"/>
    </w:rPr>
  </w:style>
  <w:style w:type="paragraph" w:styleId="8">
    <w:name w:val="toc 3"/>
    <w:basedOn w:val="1"/>
    <w:next w:val="1"/>
    <w:qFormat/>
    <w:uiPriority w:val="39"/>
    <w:pPr>
      <w:ind w:left="840" w:leftChars="400"/>
    </w:pPr>
  </w:style>
  <w:style w:type="paragraph" w:styleId="9">
    <w:name w:val="Date"/>
    <w:basedOn w:val="1"/>
    <w:next w:val="1"/>
    <w:link w:val="26"/>
    <w:qFormat/>
    <w:uiPriority w:val="0"/>
    <w:pPr>
      <w:ind w:left="100" w:leftChars="2500"/>
    </w:pPr>
  </w:style>
  <w:style w:type="paragraph" w:styleId="10">
    <w:name w:val="footer"/>
    <w:basedOn w:val="1"/>
    <w:unhideWhenUsed/>
    <w:qFormat/>
    <w:uiPriority w:val="0"/>
    <w:pPr>
      <w:tabs>
        <w:tab w:val="center" w:pos="4153"/>
        <w:tab w:val="right" w:pos="8306"/>
      </w:tabs>
      <w:snapToGrid w:val="0"/>
      <w:jc w:val="left"/>
    </w:pPr>
    <w:rPr>
      <w:kern w:val="0"/>
      <w:sz w:val="18"/>
      <w:szCs w:val="18"/>
      <w:lang w:val="zh-CN"/>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12">
    <w:name w:val="toc 1"/>
    <w:basedOn w:val="1"/>
    <w:next w:val="1"/>
    <w:qFormat/>
    <w:uiPriority w:val="39"/>
  </w:style>
  <w:style w:type="paragraph" w:styleId="13">
    <w:name w:val="Body Text Indent 3"/>
    <w:basedOn w:val="1"/>
    <w:qFormat/>
    <w:uiPriority w:val="0"/>
    <w:pPr>
      <w:spacing w:after="120"/>
      <w:ind w:left="200" w:leftChars="200"/>
    </w:pPr>
    <w:rPr>
      <w:sz w:val="16"/>
      <w:szCs w:val="16"/>
    </w:rPr>
  </w:style>
  <w:style w:type="paragraph" w:styleId="14">
    <w:name w:val="toc 2"/>
    <w:basedOn w:val="1"/>
    <w:next w:val="1"/>
    <w:qFormat/>
    <w:uiPriority w:val="39"/>
    <w:pPr>
      <w:ind w:left="420" w:leftChars="200"/>
    </w:pPr>
  </w:style>
  <w:style w:type="paragraph" w:styleId="15">
    <w:name w:val="Title"/>
    <w:basedOn w:val="1"/>
    <w:next w:val="1"/>
    <w:qFormat/>
    <w:uiPriority w:val="10"/>
    <w:pPr>
      <w:spacing w:before="240" w:after="60"/>
      <w:jc w:val="center"/>
      <w:outlineLvl w:val="0"/>
    </w:pPr>
    <w:rPr>
      <w:rFonts w:ascii="Cambria" w:hAnsi="Cambria"/>
      <w:b/>
      <w:bCs/>
      <w:kern w:val="0"/>
    </w:rPr>
  </w:style>
  <w:style w:type="paragraph" w:styleId="16">
    <w:name w:val="annotation subject"/>
    <w:basedOn w:val="6"/>
    <w:next w:val="6"/>
    <w:link w:val="25"/>
    <w:qFormat/>
    <w:uiPriority w:val="0"/>
    <w:rPr>
      <w:b/>
      <w:bCs/>
    </w:rPr>
  </w:style>
  <w:style w:type="table" w:styleId="18">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kern w:val="0"/>
      <w:sz w:val="32"/>
      <w:szCs w:val="32"/>
    </w:rPr>
  </w:style>
  <w:style w:type="character" w:customStyle="1" w:styleId="24">
    <w:name w:val="批注文字 字符"/>
    <w:basedOn w:val="19"/>
    <w:link w:val="6"/>
    <w:qFormat/>
    <w:uiPriority w:val="0"/>
    <w:rPr>
      <w:rFonts w:eastAsia="仿宋_GB2312"/>
      <w:kern w:val="2"/>
      <w:sz w:val="32"/>
      <w:szCs w:val="24"/>
    </w:rPr>
  </w:style>
  <w:style w:type="character" w:customStyle="1" w:styleId="25">
    <w:name w:val="批注主题 字符"/>
    <w:basedOn w:val="24"/>
    <w:link w:val="16"/>
    <w:qFormat/>
    <w:uiPriority w:val="0"/>
    <w:rPr>
      <w:rFonts w:eastAsia="仿宋_GB2312"/>
      <w:b/>
      <w:bCs/>
      <w:kern w:val="2"/>
      <w:sz w:val="32"/>
      <w:szCs w:val="24"/>
    </w:rPr>
  </w:style>
  <w:style w:type="character" w:customStyle="1" w:styleId="26">
    <w:name w:val="日期 字符"/>
    <w:basedOn w:val="19"/>
    <w:link w:val="9"/>
    <w:qFormat/>
    <w:uiPriority w:val="0"/>
    <w:rPr>
      <w:rFonts w:eastAsia="仿宋_GB2312"/>
      <w:kern w:val="2"/>
      <w:sz w:val="32"/>
      <w:szCs w:val="24"/>
    </w:rPr>
  </w:style>
  <w:style w:type="paragraph" w:customStyle="1" w:styleId="27">
    <w:name w:val="Revision"/>
    <w:hidden/>
    <w:unhideWhenUsed/>
    <w:qFormat/>
    <w:uiPriority w:val="99"/>
    <w:rPr>
      <w:rFonts w:eastAsia="仿宋_GB2312"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712</Words>
  <Characters>724</Characters>
  <Lines>95</Lines>
  <Paragraphs>26</Paragraphs>
  <TotalTime>3</TotalTime>
  <ScaleCrop>false</ScaleCrop>
  <LinksUpToDate>false</LinksUpToDate>
  <CharactersWithSpaces>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2023-09-07T03:34:00Z</dcterms:created>
  <dc:creator>郭维苏</dc:creator>
  <cp:lastModifiedBy>郭维苏</cp:lastModifiedBy>
  <cp:lastPrinted>2023-09-08T01:21:00Z</cp:lastPrinted>
  <dcterms:modified xsi:type="dcterms:W3CDTF">2023-09-14T04:49:56Z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65B2B4C35BA94DB5B6B6C066EA3FE288</vt:lpwstr>
  </property>
</Properties>
</file>