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spacing w:line="560" w:lineRule="exact"/>
        <w:rPr>
          <w:rFonts w:ascii="仿宋" w:hAnsi="仿宋" w:eastAsia="仿宋" w:cs="仿宋"/>
          <w:color w:val="auto"/>
        </w:rPr>
      </w:pPr>
      <w:r>
        <w:rPr>
          <w:rFonts w:hint="eastAsia" w:ascii="Times New Roman" w:eastAsia="仿宋"/>
          <w:color w:val="auto"/>
          <w:szCs w:val="32"/>
        </w:rPr>
        <w:t>成都粮食集团有限公司所属企业领导人员经济责任审计项目和存续业务专项审计项目</w:t>
      </w:r>
      <w:r>
        <w:rPr>
          <w:rFonts w:hint="eastAsia" w:ascii="仿宋" w:hAnsi="仿宋" w:eastAsia="仿宋" w:cs="仿宋"/>
          <w:color w:val="auto"/>
        </w:rPr>
        <w:t>服务机构比选评审办法</w:t>
      </w:r>
    </w:p>
    <w:p>
      <w:pPr>
        <w:pStyle w:val="4"/>
        <w:rPr>
          <w:rFonts w:ascii="仿宋" w:hAnsi="仿宋" w:eastAsia="仿宋" w:cs="仿宋"/>
        </w:rPr>
      </w:pPr>
      <w:r>
        <w:rPr>
          <w:rFonts w:hint="eastAsia" w:ascii="仿宋" w:hAnsi="仿宋" w:eastAsia="仿宋" w:cs="仿宋"/>
        </w:rPr>
        <w:t>一、资格评审</w:t>
      </w:r>
    </w:p>
    <w:p>
      <w:pPr>
        <w:pStyle w:val="21"/>
        <w:ind w:firstLine="480"/>
        <w:rPr>
          <w:rFonts w:ascii="仿宋" w:hAnsi="仿宋" w:eastAsia="仿宋"/>
          <w:color w:val="auto"/>
          <w:szCs w:val="28"/>
        </w:rPr>
      </w:pPr>
      <w:r>
        <w:rPr>
          <w:rFonts w:hint="eastAsia" w:ascii="仿宋" w:hAnsi="仿宋" w:eastAsia="仿宋" w:cs="仿宋"/>
          <w:color w:val="auto"/>
        </w:rPr>
        <w:t>资格评审项为比选申请前置条件，资格审查合格后方可进入评分环节。</w:t>
      </w:r>
    </w:p>
    <w:p>
      <w:pPr>
        <w:spacing w:line="360" w:lineRule="auto"/>
        <w:ind w:firstLine="480" w:firstLineChars="200"/>
        <w:contextualSpacing/>
        <w:rPr>
          <w:rFonts w:ascii="仿宋" w:hAnsi="仿宋" w:eastAsia="仿宋"/>
          <w:sz w:val="24"/>
          <w:szCs w:val="28"/>
        </w:rPr>
      </w:pPr>
      <w:bookmarkStart w:id="0" w:name="PO_供应商资格条件_1"/>
      <w:r>
        <w:rPr>
          <w:rFonts w:hint="eastAsia" w:ascii="仿宋" w:hAnsi="仿宋" w:eastAsia="仿宋"/>
          <w:sz w:val="24"/>
          <w:szCs w:val="28"/>
        </w:rPr>
        <w:t>1、具有独立承担民事责任能力的合法企业（需提供：营业执照正副本、资质证书复印件）。比选人</w:t>
      </w:r>
      <w:r>
        <w:rPr>
          <w:rFonts w:hint="eastAsia" w:ascii="仿宋" w:hAnsi="仿宋" w:eastAsia="仿宋"/>
          <w:b/>
          <w:bCs/>
          <w:sz w:val="24"/>
          <w:szCs w:val="28"/>
        </w:rPr>
        <w:t>不接受联合体</w:t>
      </w:r>
      <w:r>
        <w:rPr>
          <w:rFonts w:hint="eastAsia" w:ascii="仿宋" w:hAnsi="仿宋" w:eastAsia="仿宋"/>
          <w:sz w:val="24"/>
          <w:szCs w:val="28"/>
        </w:rPr>
        <w:t>参加本次比选活动；</w:t>
      </w:r>
    </w:p>
    <w:p>
      <w:pPr>
        <w:spacing w:line="360" w:lineRule="auto"/>
        <w:ind w:firstLine="480" w:firstLineChars="200"/>
        <w:contextualSpacing/>
        <w:rPr>
          <w:rFonts w:ascii="仿宋" w:hAnsi="仿宋" w:eastAsia="仿宋"/>
          <w:sz w:val="24"/>
          <w:szCs w:val="28"/>
        </w:rPr>
      </w:pPr>
      <w:r>
        <w:rPr>
          <w:rFonts w:hint="eastAsia" w:ascii="仿宋" w:hAnsi="仿宋" w:eastAsia="仿宋"/>
          <w:sz w:val="24"/>
          <w:szCs w:val="28"/>
        </w:rPr>
        <w:t>2、企业资质要求：</w:t>
      </w:r>
      <w:r>
        <w:rPr>
          <w:rFonts w:hint="eastAsia" w:ascii="仿宋" w:hAnsi="仿宋" w:eastAsia="仿宋"/>
          <w:sz w:val="24"/>
          <w:szCs w:val="28"/>
          <w:u w:val="single"/>
        </w:rPr>
        <w:t>具备国家行业主管部门颁发的有效的会计师事务所执业证书</w:t>
      </w:r>
      <w:r>
        <w:rPr>
          <w:rFonts w:hint="eastAsia" w:ascii="仿宋" w:hAnsi="仿宋" w:eastAsia="仿宋"/>
          <w:sz w:val="24"/>
          <w:szCs w:val="28"/>
        </w:rPr>
        <w:t xml:space="preserve"> ；</w:t>
      </w:r>
    </w:p>
    <w:p>
      <w:pPr>
        <w:spacing w:line="360" w:lineRule="auto"/>
        <w:ind w:firstLine="480" w:firstLineChars="200"/>
        <w:contextualSpacing/>
        <w:rPr>
          <w:rFonts w:ascii="仿宋" w:hAnsi="仿宋" w:eastAsia="仿宋"/>
          <w:sz w:val="24"/>
          <w:szCs w:val="28"/>
        </w:rPr>
      </w:pPr>
      <w:r>
        <w:rPr>
          <w:rFonts w:hint="eastAsia" w:ascii="仿宋" w:hAnsi="仿宋" w:eastAsia="仿宋"/>
          <w:sz w:val="24"/>
          <w:szCs w:val="28"/>
        </w:rPr>
        <w:t>3、类似审计业绩：近三年来（自2020年</w:t>
      </w:r>
      <w:r>
        <w:rPr>
          <w:rFonts w:hint="eastAsia" w:ascii="仿宋" w:hAnsi="仿宋" w:eastAsia="仿宋"/>
          <w:sz w:val="24"/>
          <w:szCs w:val="28"/>
          <w:lang w:val="en-US" w:eastAsia="zh-CN"/>
        </w:rPr>
        <w:t>1</w:t>
      </w:r>
      <w:r>
        <w:rPr>
          <w:rFonts w:hint="eastAsia" w:ascii="仿宋" w:hAnsi="仿宋" w:eastAsia="仿宋"/>
          <w:sz w:val="24"/>
          <w:szCs w:val="28"/>
        </w:rPr>
        <w:t>月</w:t>
      </w:r>
      <w:r>
        <w:rPr>
          <w:rFonts w:hint="eastAsia" w:ascii="仿宋" w:hAnsi="仿宋" w:eastAsia="仿宋"/>
          <w:sz w:val="24"/>
          <w:szCs w:val="28"/>
          <w:lang w:val="en-US" w:eastAsia="zh-CN"/>
        </w:rPr>
        <w:t>1</w:t>
      </w:r>
      <w:r>
        <w:rPr>
          <w:rFonts w:hint="eastAsia" w:ascii="仿宋" w:hAnsi="仿宋" w:eastAsia="仿宋"/>
          <w:sz w:val="24"/>
          <w:szCs w:val="28"/>
        </w:rPr>
        <w:t>日起），申请人应至少已完成3个及以上的国有企业法定代表人（或国有企业负责人)离任经济责任审计服务业绩（提供相关合同复印件）；</w:t>
      </w:r>
    </w:p>
    <w:p>
      <w:pPr>
        <w:pStyle w:val="13"/>
        <w:spacing w:before="0" w:beforeAutospacing="0" w:after="0" w:afterAutospacing="0" w:line="360" w:lineRule="auto"/>
        <w:ind w:firstLine="480" w:firstLineChars="200"/>
        <w:contextualSpacing/>
        <w:rPr>
          <w:rFonts w:ascii="仿宋" w:hAnsi="仿宋" w:eastAsia="仿宋"/>
          <w:szCs w:val="28"/>
        </w:rPr>
      </w:pPr>
      <w:r>
        <w:rPr>
          <w:rFonts w:hint="eastAsia" w:ascii="仿宋" w:hAnsi="仿宋" w:eastAsia="仿宋"/>
          <w:szCs w:val="28"/>
        </w:rPr>
        <w:t>4、为本项目服务人员资质要求：项目负责人必须具备全国注册会计师执业资格证书，其他主要技术人员应至少包括中级会计师职称2名。所有服务人员必须为本企业在职人员，须提供比选申请人在近六个月为其缴纳的社保证明原件，否则不予认可；</w:t>
      </w:r>
    </w:p>
    <w:p>
      <w:pPr>
        <w:pStyle w:val="21"/>
        <w:ind w:firstLine="480"/>
        <w:rPr>
          <w:rFonts w:ascii="仿宋" w:hAnsi="仿宋" w:eastAsia="仿宋"/>
          <w:color w:val="auto"/>
          <w:szCs w:val="28"/>
        </w:rPr>
      </w:pPr>
      <w:r>
        <w:rPr>
          <w:rFonts w:hint="eastAsia" w:ascii="仿宋" w:hAnsi="仿宋" w:eastAsia="仿宋"/>
          <w:color w:val="auto"/>
          <w:szCs w:val="28"/>
        </w:rPr>
        <w:t>5、信誉要求：企业未处于财产被接管、冻结、破产状态，未处于有关行政处罚期间，提供在“信用中国”和“国家企业信用信息公示系统”上，未被列入失信被执行人、重大税收违法案件记录的查询截图（截图时间为：询价时间截止前10天内），未提供查询截图取消比选申请人的参选资格；</w:t>
      </w:r>
    </w:p>
    <w:p>
      <w:pPr>
        <w:pStyle w:val="21"/>
        <w:ind w:firstLine="480"/>
        <w:rPr>
          <w:rFonts w:ascii="仿宋" w:hAnsi="仿宋" w:eastAsia="仿宋" w:cs="仿宋"/>
          <w:color w:val="auto"/>
        </w:rPr>
      </w:pPr>
      <w:r>
        <w:rPr>
          <w:rFonts w:hint="eastAsia" w:ascii="仿宋" w:hAnsi="仿宋" w:eastAsia="仿宋"/>
          <w:color w:val="auto"/>
          <w:szCs w:val="28"/>
        </w:rPr>
        <w:t>6、比选申请人报价应在规定范围内</w:t>
      </w:r>
      <w:bookmarkEnd w:id="0"/>
      <w:r>
        <w:rPr>
          <w:rFonts w:hint="eastAsia" w:ascii="仿宋" w:hAnsi="仿宋" w:eastAsia="仿宋"/>
          <w:color w:val="auto"/>
          <w:szCs w:val="28"/>
        </w:rPr>
        <w:t>。</w:t>
      </w:r>
      <w:r>
        <w:rPr>
          <w:rFonts w:hint="eastAsia" w:ascii="仿宋" w:hAnsi="仿宋" w:eastAsia="仿宋" w:cs="仿宋"/>
          <w:color w:val="auto"/>
        </w:rPr>
        <w:t>比选申请人报价高于比选最高限价的，将取消比选申请人参选资格。</w:t>
      </w:r>
    </w:p>
    <w:p>
      <w:pPr>
        <w:spacing w:line="360" w:lineRule="auto"/>
        <w:rPr>
          <w:rFonts w:ascii="仿宋" w:hAnsi="仿宋" w:eastAsia="仿宋" w:cs="仿宋"/>
          <w:b/>
          <w:bCs/>
          <w:kern w:val="2"/>
          <w:sz w:val="28"/>
          <w:szCs w:val="32"/>
        </w:rPr>
      </w:pPr>
      <w:r>
        <w:rPr>
          <w:rFonts w:hint="eastAsia" w:ascii="仿宋" w:hAnsi="仿宋" w:eastAsia="仿宋" w:cs="仿宋"/>
          <w:b/>
          <w:bCs/>
          <w:kern w:val="2"/>
          <w:sz w:val="28"/>
          <w:szCs w:val="32"/>
        </w:rPr>
        <w:t>二、评分标准</w:t>
      </w:r>
    </w:p>
    <w:p>
      <w:pPr>
        <w:pStyle w:val="21"/>
        <w:ind w:firstLine="480"/>
        <w:rPr>
          <w:rFonts w:ascii="仿宋" w:hAnsi="仿宋" w:eastAsia="仿宋"/>
          <w:color w:val="auto"/>
          <w:szCs w:val="28"/>
        </w:rPr>
      </w:pPr>
      <w:r>
        <w:rPr>
          <w:rFonts w:hint="eastAsia" w:ascii="仿宋" w:hAnsi="仿宋" w:eastAsia="仿宋"/>
          <w:color w:val="auto"/>
          <w:szCs w:val="28"/>
        </w:rPr>
        <w:t>本次比选采用综合评分法，总分值最高为100分，其中资信业绩最高得分35分、咨询服务方案最高得分35分和商务报价最高得分30分。</w:t>
      </w:r>
    </w:p>
    <w:p>
      <w:pPr>
        <w:pStyle w:val="21"/>
        <w:ind w:firstLine="480"/>
        <w:rPr>
          <w:rFonts w:ascii="仿宋" w:hAnsi="仿宋" w:eastAsia="仿宋"/>
          <w:color w:val="auto"/>
          <w:szCs w:val="28"/>
        </w:rPr>
      </w:pPr>
      <w:r>
        <w:rPr>
          <w:rFonts w:hint="eastAsia" w:ascii="仿宋" w:hAnsi="仿宋" w:eastAsia="仿宋"/>
          <w:color w:val="auto"/>
          <w:szCs w:val="28"/>
        </w:rPr>
        <w:t>1 、资信业绩评分（最高得分35分）</w:t>
      </w:r>
    </w:p>
    <w:p>
      <w:pPr>
        <w:pStyle w:val="21"/>
        <w:ind w:firstLine="480"/>
        <w:rPr>
          <w:rFonts w:ascii="仿宋" w:hAnsi="仿宋" w:eastAsia="仿宋"/>
          <w:color w:val="auto"/>
          <w:szCs w:val="28"/>
        </w:rPr>
      </w:pPr>
      <w:r>
        <w:rPr>
          <w:rFonts w:hint="eastAsia" w:ascii="仿宋" w:hAnsi="仿宋" w:eastAsia="仿宋"/>
          <w:color w:val="auto"/>
          <w:szCs w:val="28"/>
        </w:rPr>
        <w:t>1.1 申请人业绩：近三年来，申请人应至少已完成</w:t>
      </w:r>
      <w:r>
        <w:rPr>
          <w:rFonts w:hint="eastAsia" w:ascii="仿宋" w:hAnsi="仿宋" w:eastAsia="仿宋"/>
          <w:sz w:val="24"/>
          <w:szCs w:val="28"/>
        </w:rPr>
        <w:t>3个及以上的国有企业法定代表人（或国有企业负责人)离任经济责任审计服务业绩</w:t>
      </w:r>
      <w:r>
        <w:rPr>
          <w:rFonts w:hint="eastAsia" w:ascii="仿宋" w:hAnsi="仿宋" w:eastAsia="仿宋"/>
          <w:color w:val="auto"/>
          <w:szCs w:val="28"/>
        </w:rPr>
        <w:t>，得基本分6分，每多一项得2分，最高得</w:t>
      </w:r>
      <w:r>
        <w:rPr>
          <w:rFonts w:hint="eastAsia" w:ascii="仿宋" w:hAnsi="仿宋" w:eastAsia="仿宋"/>
          <w:color w:val="auto"/>
          <w:szCs w:val="28"/>
          <w:u w:val="single"/>
        </w:rPr>
        <w:t>10分</w:t>
      </w:r>
      <w:r>
        <w:rPr>
          <w:rFonts w:hint="eastAsia" w:ascii="仿宋" w:hAnsi="仿宋" w:eastAsia="仿宋"/>
          <w:color w:val="auto"/>
          <w:szCs w:val="28"/>
        </w:rPr>
        <w:t>。须提供合同及报告首页和盖章版末页复印件；</w:t>
      </w:r>
    </w:p>
    <w:p>
      <w:pPr>
        <w:pStyle w:val="21"/>
        <w:ind w:firstLine="480"/>
        <w:rPr>
          <w:rFonts w:ascii="仿宋" w:hAnsi="仿宋" w:eastAsia="仿宋"/>
          <w:color w:val="auto"/>
          <w:szCs w:val="28"/>
        </w:rPr>
      </w:pPr>
      <w:r>
        <w:rPr>
          <w:rFonts w:hint="eastAsia" w:ascii="仿宋" w:hAnsi="仿宋" w:eastAsia="仿宋"/>
          <w:color w:val="auto"/>
          <w:szCs w:val="28"/>
        </w:rPr>
        <w:t>1.2 项目负责人业绩：近三年来，拟派项目负责人以项目负责人身份主持完成市属国有企业领导人员经济责任审计业务项目的，每具备一项得5分，最高得</w:t>
      </w:r>
      <w:r>
        <w:rPr>
          <w:rFonts w:hint="eastAsia" w:ascii="仿宋" w:hAnsi="仿宋" w:eastAsia="仿宋"/>
          <w:color w:val="auto"/>
          <w:szCs w:val="28"/>
          <w:u w:val="single"/>
        </w:rPr>
        <w:t>10分</w:t>
      </w:r>
      <w:r>
        <w:rPr>
          <w:rFonts w:hint="eastAsia" w:ascii="仿宋" w:hAnsi="仿宋" w:eastAsia="仿宋"/>
          <w:color w:val="auto"/>
          <w:szCs w:val="28"/>
        </w:rPr>
        <w:t>。须提供其本人签署审计报告首页和末页复印件；</w:t>
      </w:r>
    </w:p>
    <w:p>
      <w:pPr>
        <w:pStyle w:val="21"/>
        <w:ind w:firstLine="480"/>
        <w:rPr>
          <w:rFonts w:ascii="仿宋" w:hAnsi="仿宋" w:eastAsia="仿宋"/>
          <w:color w:val="auto"/>
          <w:szCs w:val="28"/>
        </w:rPr>
      </w:pPr>
      <w:r>
        <w:rPr>
          <w:rFonts w:hint="eastAsia" w:ascii="仿宋" w:hAnsi="仿宋" w:eastAsia="仿宋"/>
          <w:color w:val="auto"/>
          <w:szCs w:val="28"/>
        </w:rPr>
        <w:t>1.3 项目负责人资质</w:t>
      </w:r>
    </w:p>
    <w:p>
      <w:pPr>
        <w:pStyle w:val="21"/>
        <w:ind w:firstLine="480"/>
        <w:rPr>
          <w:rFonts w:ascii="仿宋" w:hAnsi="仿宋" w:eastAsia="仿宋"/>
          <w:color w:val="auto"/>
          <w:szCs w:val="28"/>
        </w:rPr>
      </w:pPr>
      <w:r>
        <w:rPr>
          <w:rFonts w:hint="eastAsia" w:ascii="仿宋" w:hAnsi="仿宋" w:eastAsia="仿宋"/>
          <w:color w:val="auto"/>
          <w:szCs w:val="28"/>
        </w:rPr>
        <w:t>拟派项目负责人具备注册会计师职业资格得</w:t>
      </w:r>
      <w:r>
        <w:rPr>
          <w:rFonts w:hint="eastAsia" w:ascii="仿宋" w:hAnsi="仿宋" w:eastAsia="仿宋"/>
          <w:color w:val="auto"/>
          <w:szCs w:val="28"/>
          <w:u w:val="single"/>
        </w:rPr>
        <w:t>5分</w:t>
      </w:r>
      <w:r>
        <w:rPr>
          <w:rFonts w:hint="eastAsia" w:ascii="仿宋" w:hAnsi="仿宋" w:eastAsia="仿宋"/>
          <w:color w:val="auto"/>
          <w:szCs w:val="28"/>
        </w:rPr>
        <w:t>，项目负责人必须为本单位在职人员，须提供项目负责人注册会计师职业证书及比选申请人在近六个月为其缴纳的社保证明原件，否则不予认可。</w:t>
      </w:r>
    </w:p>
    <w:p>
      <w:pPr>
        <w:pStyle w:val="21"/>
        <w:ind w:firstLine="480"/>
        <w:rPr>
          <w:rFonts w:ascii="仿宋" w:hAnsi="仿宋" w:eastAsia="仿宋"/>
          <w:color w:val="auto"/>
          <w:szCs w:val="28"/>
        </w:rPr>
      </w:pPr>
      <w:r>
        <w:rPr>
          <w:rFonts w:hint="eastAsia" w:ascii="仿宋" w:hAnsi="仿宋" w:eastAsia="仿宋"/>
          <w:color w:val="auto"/>
          <w:szCs w:val="28"/>
        </w:rPr>
        <w:t>1.4 项目组其他成员</w:t>
      </w:r>
    </w:p>
    <w:p>
      <w:pPr>
        <w:pStyle w:val="21"/>
        <w:ind w:firstLine="480"/>
        <w:rPr>
          <w:rFonts w:ascii="仿宋" w:hAnsi="仿宋" w:eastAsia="仿宋"/>
          <w:color w:val="auto"/>
          <w:szCs w:val="28"/>
        </w:rPr>
      </w:pPr>
      <w:r>
        <w:rPr>
          <w:rFonts w:hint="eastAsia" w:ascii="仿宋" w:hAnsi="仿宋" w:eastAsia="仿宋"/>
          <w:color w:val="auto"/>
          <w:szCs w:val="28"/>
        </w:rPr>
        <w:t>拟派其他人员具备中级会计或审计及以上职称2人及以上得</w:t>
      </w:r>
      <w:r>
        <w:rPr>
          <w:rFonts w:hint="eastAsia" w:ascii="仿宋" w:hAnsi="仿宋" w:eastAsia="仿宋"/>
          <w:color w:val="auto"/>
          <w:szCs w:val="28"/>
          <w:u w:val="single"/>
        </w:rPr>
        <w:t>5分</w:t>
      </w:r>
      <w:r>
        <w:rPr>
          <w:rFonts w:hint="eastAsia" w:ascii="仿宋" w:hAnsi="仿宋" w:eastAsia="仿宋"/>
          <w:color w:val="auto"/>
          <w:szCs w:val="28"/>
        </w:rPr>
        <w:t>，少1人扣3分。所有人员必须为本单位注册人员，须提供其执业资格或职称证书复印件以及比选申请人在近六个月为其缴纳的社保证明原件，否则不予认可。</w:t>
      </w:r>
    </w:p>
    <w:p>
      <w:pPr>
        <w:pStyle w:val="21"/>
        <w:ind w:firstLine="480"/>
        <w:rPr>
          <w:rFonts w:ascii="仿宋" w:hAnsi="仿宋" w:eastAsia="仿宋"/>
          <w:color w:val="auto"/>
          <w:szCs w:val="28"/>
        </w:rPr>
      </w:pPr>
      <w:r>
        <w:rPr>
          <w:rFonts w:hint="eastAsia" w:ascii="仿宋" w:hAnsi="仿宋" w:eastAsia="仿宋"/>
          <w:color w:val="auto"/>
          <w:szCs w:val="28"/>
        </w:rPr>
        <w:t>1.5提供近三年经会计师事务所审计的财务报告的得5分，不提供或提供的未经审计的财务报告不得分。</w:t>
      </w:r>
    </w:p>
    <w:p>
      <w:pPr>
        <w:pStyle w:val="21"/>
        <w:ind w:firstLine="480"/>
        <w:rPr>
          <w:rFonts w:ascii="仿宋" w:hAnsi="仿宋" w:eastAsia="仿宋"/>
          <w:color w:val="auto"/>
          <w:szCs w:val="28"/>
        </w:rPr>
      </w:pPr>
      <w:r>
        <w:rPr>
          <w:rFonts w:hint="eastAsia" w:ascii="仿宋" w:hAnsi="仿宋" w:eastAsia="仿宋"/>
          <w:color w:val="auto"/>
          <w:szCs w:val="28"/>
        </w:rPr>
        <w:t>2、咨询服务方案评分（最高得分35分）</w:t>
      </w:r>
    </w:p>
    <w:p>
      <w:pPr>
        <w:pStyle w:val="21"/>
        <w:ind w:firstLine="480"/>
        <w:rPr>
          <w:rFonts w:ascii="仿宋" w:hAnsi="仿宋" w:eastAsia="仿宋"/>
          <w:color w:val="auto"/>
          <w:szCs w:val="28"/>
        </w:rPr>
      </w:pPr>
      <w:r>
        <w:rPr>
          <w:rFonts w:hint="eastAsia" w:ascii="仿宋" w:hAnsi="仿宋" w:eastAsia="仿宋"/>
          <w:color w:val="auto"/>
          <w:szCs w:val="28"/>
        </w:rPr>
        <w:t>2.1 工作理解：</w:t>
      </w:r>
    </w:p>
    <w:p>
      <w:pPr>
        <w:pStyle w:val="21"/>
        <w:ind w:firstLine="480"/>
        <w:rPr>
          <w:rFonts w:ascii="仿宋" w:hAnsi="仿宋" w:eastAsia="仿宋"/>
          <w:color w:val="auto"/>
          <w:szCs w:val="28"/>
        </w:rPr>
      </w:pPr>
      <w:r>
        <w:rPr>
          <w:rFonts w:hint="eastAsia" w:ascii="仿宋" w:hAnsi="仿宋" w:eastAsia="仿宋"/>
          <w:color w:val="auto"/>
          <w:szCs w:val="28"/>
        </w:rPr>
        <w:t>对本次咨询服务工作内容</w:t>
      </w:r>
      <w:r>
        <w:rPr>
          <w:rFonts w:ascii="仿宋" w:hAnsi="仿宋" w:eastAsia="仿宋"/>
          <w:color w:val="auto"/>
          <w:szCs w:val="28"/>
        </w:rPr>
        <w:t>、范围、</w:t>
      </w:r>
      <w:r>
        <w:rPr>
          <w:rFonts w:hint="eastAsia" w:ascii="仿宋" w:hAnsi="仿宋" w:eastAsia="仿宋"/>
          <w:color w:val="auto"/>
          <w:szCs w:val="28"/>
        </w:rPr>
        <w:t>审查</w:t>
      </w:r>
      <w:r>
        <w:rPr>
          <w:rFonts w:ascii="仿宋" w:hAnsi="仿宋" w:eastAsia="仿宋"/>
          <w:color w:val="auto"/>
          <w:szCs w:val="28"/>
        </w:rPr>
        <w:t>依据</w:t>
      </w:r>
      <w:r>
        <w:rPr>
          <w:rFonts w:hint="eastAsia" w:ascii="仿宋" w:hAnsi="仿宋" w:eastAsia="仿宋"/>
          <w:color w:val="auto"/>
          <w:szCs w:val="28"/>
        </w:rPr>
        <w:t>应有准确理解，对经责审计和存续业务专项审计工作应概念清晰，对审计工作采用规范和</w:t>
      </w:r>
      <w:r>
        <w:rPr>
          <w:rFonts w:ascii="仿宋" w:hAnsi="仿宋" w:eastAsia="仿宋"/>
          <w:color w:val="auto"/>
          <w:szCs w:val="28"/>
        </w:rPr>
        <w:t>标准</w:t>
      </w:r>
      <w:r>
        <w:rPr>
          <w:rFonts w:hint="eastAsia" w:ascii="仿宋" w:hAnsi="仿宋" w:eastAsia="仿宋"/>
          <w:color w:val="auto"/>
          <w:szCs w:val="28"/>
        </w:rPr>
        <w:t>等文件应运用准确，</w:t>
      </w:r>
      <w:r>
        <w:rPr>
          <w:rFonts w:ascii="仿宋" w:hAnsi="仿宋" w:eastAsia="仿宋"/>
          <w:color w:val="auto"/>
          <w:szCs w:val="28"/>
        </w:rPr>
        <w:t>审</w:t>
      </w:r>
      <w:r>
        <w:rPr>
          <w:rFonts w:hint="eastAsia" w:ascii="仿宋" w:hAnsi="仿宋" w:eastAsia="仿宋"/>
          <w:color w:val="auto"/>
          <w:szCs w:val="28"/>
        </w:rPr>
        <w:t>查</w:t>
      </w:r>
      <w:r>
        <w:rPr>
          <w:rFonts w:ascii="仿宋" w:hAnsi="仿宋" w:eastAsia="仿宋"/>
          <w:color w:val="auto"/>
          <w:szCs w:val="28"/>
        </w:rPr>
        <w:t>依据充分。</w:t>
      </w:r>
      <w:r>
        <w:rPr>
          <w:rFonts w:hint="eastAsia" w:ascii="仿宋" w:hAnsi="仿宋" w:eastAsia="仿宋"/>
          <w:color w:val="auto"/>
          <w:szCs w:val="28"/>
        </w:rPr>
        <w:t>咨询</w:t>
      </w:r>
      <w:r>
        <w:rPr>
          <w:rFonts w:ascii="仿宋" w:hAnsi="仿宋" w:eastAsia="仿宋"/>
          <w:color w:val="auto"/>
          <w:szCs w:val="28"/>
        </w:rPr>
        <w:t>服务内容全面，总体和各专业</w:t>
      </w:r>
      <w:r>
        <w:rPr>
          <w:rFonts w:hint="eastAsia" w:ascii="仿宋" w:hAnsi="仿宋" w:eastAsia="仿宋"/>
          <w:color w:val="auto"/>
          <w:szCs w:val="28"/>
        </w:rPr>
        <w:t>审查</w:t>
      </w:r>
      <w:r>
        <w:rPr>
          <w:rFonts w:ascii="仿宋" w:hAnsi="仿宋" w:eastAsia="仿宋"/>
          <w:color w:val="auto"/>
          <w:szCs w:val="28"/>
        </w:rPr>
        <w:t>重点突出，满足国家</w:t>
      </w:r>
      <w:r>
        <w:rPr>
          <w:rFonts w:hint="eastAsia" w:ascii="仿宋" w:hAnsi="仿宋" w:eastAsia="仿宋"/>
          <w:color w:val="auto"/>
          <w:szCs w:val="28"/>
        </w:rPr>
        <w:t>及</w:t>
      </w:r>
      <w:r>
        <w:rPr>
          <w:rFonts w:ascii="仿宋" w:hAnsi="仿宋" w:eastAsia="仿宋"/>
          <w:color w:val="auto"/>
          <w:szCs w:val="28"/>
        </w:rPr>
        <w:t>相关行业标准、规范、规程、指南要求。</w:t>
      </w:r>
      <w:r>
        <w:rPr>
          <w:rFonts w:hint="eastAsia" w:ascii="仿宋" w:hAnsi="仿宋" w:eastAsia="仿宋"/>
          <w:color w:val="auto"/>
          <w:szCs w:val="28"/>
        </w:rPr>
        <w:t>咨询</w:t>
      </w:r>
      <w:r>
        <w:rPr>
          <w:rFonts w:ascii="仿宋" w:hAnsi="仿宋" w:eastAsia="仿宋"/>
          <w:color w:val="auto"/>
          <w:szCs w:val="28"/>
        </w:rPr>
        <w:t>服务工作思路清晰，能把握关键环节，突出工作重点，可操作性强。（</w:t>
      </w:r>
      <w:r>
        <w:rPr>
          <w:rFonts w:hint="eastAsia" w:ascii="仿宋" w:hAnsi="仿宋" w:eastAsia="仿宋"/>
          <w:color w:val="auto"/>
          <w:szCs w:val="28"/>
        </w:rPr>
        <w:t>得分0</w:t>
      </w:r>
      <w:r>
        <w:rPr>
          <w:rFonts w:ascii="仿宋" w:hAnsi="仿宋" w:eastAsia="仿宋"/>
          <w:color w:val="auto"/>
          <w:szCs w:val="28"/>
        </w:rPr>
        <w:t>～</w:t>
      </w:r>
      <w:r>
        <w:rPr>
          <w:rFonts w:hint="eastAsia" w:ascii="仿宋" w:hAnsi="仿宋" w:eastAsia="仿宋"/>
          <w:color w:val="auto"/>
          <w:szCs w:val="28"/>
        </w:rPr>
        <w:t>10</w:t>
      </w:r>
      <w:r>
        <w:rPr>
          <w:rFonts w:ascii="仿宋" w:hAnsi="仿宋" w:eastAsia="仿宋"/>
          <w:color w:val="auto"/>
          <w:szCs w:val="28"/>
        </w:rPr>
        <w:t>分）</w:t>
      </w:r>
    </w:p>
    <w:p>
      <w:pPr>
        <w:pStyle w:val="21"/>
        <w:ind w:firstLine="480"/>
        <w:rPr>
          <w:rFonts w:ascii="仿宋" w:hAnsi="仿宋" w:eastAsia="仿宋"/>
          <w:color w:val="auto"/>
          <w:szCs w:val="28"/>
        </w:rPr>
      </w:pPr>
      <w:r>
        <w:rPr>
          <w:rFonts w:hint="eastAsia" w:ascii="仿宋" w:hAnsi="仿宋" w:eastAsia="仿宋"/>
          <w:color w:val="auto"/>
          <w:szCs w:val="28"/>
        </w:rPr>
        <w:t>2.2 组织架构：</w:t>
      </w:r>
    </w:p>
    <w:p>
      <w:pPr>
        <w:pStyle w:val="21"/>
        <w:ind w:firstLine="480"/>
        <w:rPr>
          <w:rFonts w:ascii="仿宋" w:hAnsi="仿宋" w:eastAsia="仿宋"/>
          <w:color w:val="auto"/>
          <w:szCs w:val="28"/>
        </w:rPr>
      </w:pPr>
      <w:r>
        <w:rPr>
          <w:rFonts w:hint="eastAsia" w:ascii="仿宋" w:hAnsi="仿宋" w:eastAsia="仿宋"/>
          <w:color w:val="auto"/>
          <w:szCs w:val="28"/>
        </w:rPr>
        <w:t>咨询服务组织</w:t>
      </w:r>
      <w:r>
        <w:rPr>
          <w:rFonts w:ascii="仿宋" w:hAnsi="仿宋" w:eastAsia="仿宋"/>
          <w:color w:val="auto"/>
          <w:szCs w:val="28"/>
        </w:rPr>
        <w:t>机构的设置科学合理、</w:t>
      </w:r>
      <w:r>
        <w:rPr>
          <w:rFonts w:hint="eastAsia" w:ascii="仿宋" w:hAnsi="仿宋" w:eastAsia="仿宋"/>
          <w:color w:val="auto"/>
          <w:szCs w:val="28"/>
        </w:rPr>
        <w:t>人员</w:t>
      </w:r>
      <w:r>
        <w:rPr>
          <w:rFonts w:ascii="仿宋" w:hAnsi="仿宋" w:eastAsia="仿宋"/>
          <w:color w:val="auto"/>
          <w:szCs w:val="28"/>
        </w:rPr>
        <w:t>分工与岗位职责明确、</w:t>
      </w:r>
      <w:r>
        <w:rPr>
          <w:rFonts w:hint="eastAsia" w:ascii="仿宋" w:hAnsi="仿宋" w:eastAsia="仿宋"/>
          <w:color w:val="auto"/>
          <w:szCs w:val="28"/>
        </w:rPr>
        <w:t>咨询服务</w:t>
      </w:r>
      <w:r>
        <w:rPr>
          <w:rFonts w:ascii="仿宋" w:hAnsi="仿宋" w:eastAsia="仿宋"/>
          <w:color w:val="auto"/>
          <w:szCs w:val="28"/>
        </w:rPr>
        <w:t>人员配置专业齐全，满足比选文件要求。项目组力量的投入是否能满足</w:t>
      </w:r>
      <w:r>
        <w:rPr>
          <w:rFonts w:hint="eastAsia" w:ascii="仿宋" w:hAnsi="仿宋" w:eastAsia="仿宋"/>
          <w:color w:val="auto"/>
          <w:szCs w:val="28"/>
        </w:rPr>
        <w:t>审计</w:t>
      </w:r>
      <w:r>
        <w:rPr>
          <w:rFonts w:ascii="仿宋" w:hAnsi="仿宋" w:eastAsia="仿宋"/>
          <w:color w:val="auto"/>
          <w:szCs w:val="28"/>
        </w:rPr>
        <w:t>的需要、人员的年龄结构是否合理</w:t>
      </w:r>
      <w:r>
        <w:rPr>
          <w:rFonts w:hint="eastAsia" w:ascii="仿宋" w:hAnsi="仿宋" w:eastAsia="仿宋"/>
          <w:color w:val="auto"/>
          <w:szCs w:val="28"/>
        </w:rPr>
        <w:t>。咨询</w:t>
      </w:r>
      <w:r>
        <w:rPr>
          <w:rFonts w:ascii="仿宋" w:hAnsi="仿宋" w:eastAsia="仿宋"/>
          <w:color w:val="auto"/>
          <w:szCs w:val="28"/>
        </w:rPr>
        <w:t>服务力量的投入、咨询人员的专业配置是否能满足</w:t>
      </w:r>
      <w:r>
        <w:rPr>
          <w:rFonts w:hint="eastAsia" w:ascii="仿宋" w:hAnsi="仿宋" w:eastAsia="仿宋"/>
          <w:color w:val="auto"/>
          <w:szCs w:val="28"/>
        </w:rPr>
        <w:t>审计</w:t>
      </w:r>
      <w:r>
        <w:rPr>
          <w:rFonts w:ascii="仿宋" w:hAnsi="仿宋" w:eastAsia="仿宋"/>
          <w:color w:val="auto"/>
          <w:szCs w:val="28"/>
        </w:rPr>
        <w:t>的需要。（</w:t>
      </w:r>
      <w:r>
        <w:rPr>
          <w:rFonts w:hint="eastAsia" w:ascii="仿宋" w:hAnsi="仿宋" w:eastAsia="仿宋"/>
          <w:color w:val="auto"/>
          <w:szCs w:val="28"/>
        </w:rPr>
        <w:t>得分0</w:t>
      </w:r>
      <w:r>
        <w:rPr>
          <w:rFonts w:ascii="仿宋" w:hAnsi="仿宋" w:eastAsia="仿宋"/>
          <w:color w:val="auto"/>
          <w:szCs w:val="28"/>
        </w:rPr>
        <w:t>～</w:t>
      </w:r>
      <w:r>
        <w:rPr>
          <w:rFonts w:hint="eastAsia" w:ascii="仿宋" w:hAnsi="仿宋" w:eastAsia="仿宋"/>
          <w:color w:val="auto"/>
          <w:szCs w:val="28"/>
        </w:rPr>
        <w:t>7</w:t>
      </w:r>
      <w:r>
        <w:rPr>
          <w:rFonts w:ascii="仿宋" w:hAnsi="仿宋" w:eastAsia="仿宋"/>
          <w:color w:val="auto"/>
          <w:szCs w:val="28"/>
        </w:rPr>
        <w:t>分）</w:t>
      </w:r>
    </w:p>
    <w:p>
      <w:pPr>
        <w:pStyle w:val="21"/>
        <w:ind w:firstLine="480"/>
        <w:rPr>
          <w:rFonts w:ascii="仿宋" w:hAnsi="仿宋" w:eastAsia="仿宋"/>
          <w:color w:val="auto"/>
          <w:szCs w:val="28"/>
        </w:rPr>
      </w:pPr>
      <w:r>
        <w:rPr>
          <w:rFonts w:hint="eastAsia" w:ascii="仿宋" w:hAnsi="仿宋" w:eastAsia="仿宋"/>
          <w:color w:val="auto"/>
          <w:szCs w:val="28"/>
        </w:rPr>
        <w:t>2.3 管理措施：</w:t>
      </w:r>
    </w:p>
    <w:p>
      <w:pPr>
        <w:pStyle w:val="21"/>
        <w:ind w:firstLine="480"/>
        <w:rPr>
          <w:rFonts w:ascii="仿宋" w:hAnsi="仿宋" w:eastAsia="仿宋"/>
          <w:color w:val="auto"/>
          <w:szCs w:val="28"/>
        </w:rPr>
      </w:pPr>
      <w:r>
        <w:rPr>
          <w:rFonts w:hint="eastAsia" w:ascii="仿宋" w:hAnsi="仿宋" w:eastAsia="仿宋"/>
          <w:color w:val="auto"/>
          <w:szCs w:val="28"/>
        </w:rPr>
        <w:t>咨询服务方案</w:t>
      </w:r>
      <w:r>
        <w:rPr>
          <w:rFonts w:ascii="仿宋" w:hAnsi="仿宋" w:eastAsia="仿宋"/>
          <w:color w:val="auto"/>
          <w:szCs w:val="28"/>
        </w:rPr>
        <w:t>中对本</w:t>
      </w:r>
      <w:r>
        <w:rPr>
          <w:rFonts w:hint="eastAsia" w:ascii="仿宋" w:hAnsi="仿宋" w:eastAsia="仿宋"/>
          <w:color w:val="auto"/>
          <w:szCs w:val="28"/>
        </w:rPr>
        <w:t>项目</w:t>
      </w:r>
      <w:r>
        <w:rPr>
          <w:rFonts w:ascii="仿宋" w:hAnsi="仿宋" w:eastAsia="仿宋"/>
          <w:color w:val="auto"/>
          <w:szCs w:val="28"/>
        </w:rPr>
        <w:t>流程、</w:t>
      </w:r>
      <w:r>
        <w:rPr>
          <w:rFonts w:hint="eastAsia" w:ascii="仿宋" w:hAnsi="仿宋" w:eastAsia="仿宋"/>
          <w:color w:val="auto"/>
          <w:szCs w:val="28"/>
        </w:rPr>
        <w:t>服务进度计划、</w:t>
      </w:r>
      <w:r>
        <w:rPr>
          <w:rFonts w:ascii="仿宋" w:hAnsi="仿宋" w:eastAsia="仿宋"/>
          <w:color w:val="auto"/>
          <w:szCs w:val="28"/>
        </w:rPr>
        <w:t>工作的难点和要点</w:t>
      </w:r>
      <w:r>
        <w:rPr>
          <w:rFonts w:hint="eastAsia" w:ascii="仿宋" w:hAnsi="仿宋" w:eastAsia="仿宋"/>
          <w:color w:val="auto"/>
          <w:szCs w:val="28"/>
        </w:rPr>
        <w:t>应有适当阐述。比选申请人企业应建立</w:t>
      </w:r>
      <w:r>
        <w:rPr>
          <w:rFonts w:ascii="仿宋" w:hAnsi="仿宋" w:eastAsia="仿宋"/>
          <w:color w:val="auto"/>
          <w:szCs w:val="28"/>
        </w:rPr>
        <w:t>齐全、合理、</w:t>
      </w:r>
      <w:r>
        <w:rPr>
          <w:rFonts w:hint="eastAsia" w:ascii="仿宋" w:hAnsi="仿宋" w:eastAsia="仿宋"/>
          <w:color w:val="auto"/>
          <w:szCs w:val="28"/>
        </w:rPr>
        <w:t>具有</w:t>
      </w:r>
      <w:r>
        <w:rPr>
          <w:rFonts w:ascii="仿宋" w:hAnsi="仿宋" w:eastAsia="仿宋"/>
          <w:color w:val="auto"/>
          <w:szCs w:val="28"/>
        </w:rPr>
        <w:t>可操作性</w:t>
      </w:r>
      <w:r>
        <w:rPr>
          <w:rFonts w:hint="eastAsia" w:ascii="仿宋" w:hAnsi="仿宋" w:eastAsia="仿宋"/>
          <w:color w:val="auto"/>
          <w:szCs w:val="28"/>
        </w:rPr>
        <w:t>的</w:t>
      </w:r>
      <w:r>
        <w:rPr>
          <w:rFonts w:ascii="仿宋" w:hAnsi="仿宋" w:eastAsia="仿宋"/>
          <w:color w:val="auto"/>
          <w:szCs w:val="28"/>
        </w:rPr>
        <w:t>质量保证体系</w:t>
      </w:r>
      <w:r>
        <w:rPr>
          <w:rFonts w:hint="eastAsia" w:ascii="仿宋" w:hAnsi="仿宋" w:eastAsia="仿宋"/>
          <w:color w:val="auto"/>
          <w:szCs w:val="28"/>
        </w:rPr>
        <w:t>和质量</w:t>
      </w:r>
      <w:r>
        <w:rPr>
          <w:rFonts w:ascii="仿宋" w:hAnsi="仿宋" w:eastAsia="仿宋"/>
          <w:color w:val="auto"/>
          <w:szCs w:val="28"/>
        </w:rPr>
        <w:t>保障措施；</w:t>
      </w:r>
      <w:r>
        <w:rPr>
          <w:rFonts w:hint="eastAsia" w:ascii="仿宋" w:hAnsi="仿宋" w:eastAsia="仿宋"/>
          <w:color w:val="auto"/>
          <w:szCs w:val="28"/>
        </w:rPr>
        <w:t>咨询</w:t>
      </w:r>
      <w:r>
        <w:rPr>
          <w:rFonts w:ascii="仿宋" w:hAnsi="仿宋" w:eastAsia="仿宋"/>
          <w:color w:val="auto"/>
          <w:szCs w:val="28"/>
        </w:rPr>
        <w:t>工作制度完备</w:t>
      </w:r>
      <w:r>
        <w:rPr>
          <w:rFonts w:hint="eastAsia" w:ascii="仿宋" w:hAnsi="仿宋" w:eastAsia="仿宋"/>
          <w:color w:val="auto"/>
          <w:szCs w:val="28"/>
        </w:rPr>
        <w:t>，审查</w:t>
      </w:r>
      <w:r>
        <w:rPr>
          <w:rFonts w:ascii="仿宋" w:hAnsi="仿宋" w:eastAsia="仿宋"/>
          <w:color w:val="auto"/>
          <w:szCs w:val="28"/>
        </w:rPr>
        <w:t>方法合理、可行，保证措施手段</w:t>
      </w:r>
      <w:r>
        <w:rPr>
          <w:rFonts w:hint="eastAsia" w:ascii="仿宋" w:hAnsi="仿宋" w:eastAsia="仿宋"/>
          <w:color w:val="auto"/>
          <w:szCs w:val="28"/>
        </w:rPr>
        <w:t>应</w:t>
      </w:r>
      <w:r>
        <w:rPr>
          <w:rFonts w:ascii="仿宋" w:hAnsi="仿宋" w:eastAsia="仿宋"/>
          <w:color w:val="auto"/>
          <w:szCs w:val="28"/>
        </w:rPr>
        <w:t>科学、可靠</w:t>
      </w:r>
      <w:r>
        <w:rPr>
          <w:rFonts w:hint="eastAsia" w:ascii="仿宋" w:hAnsi="仿宋" w:eastAsia="仿宋"/>
          <w:color w:val="auto"/>
          <w:szCs w:val="28"/>
        </w:rPr>
        <w:t>；对成果文件</w:t>
      </w:r>
      <w:r>
        <w:rPr>
          <w:rFonts w:ascii="仿宋" w:hAnsi="仿宋" w:eastAsia="仿宋"/>
          <w:color w:val="auto"/>
          <w:szCs w:val="28"/>
        </w:rPr>
        <w:t>准确性有</w:t>
      </w:r>
      <w:r>
        <w:rPr>
          <w:rFonts w:hint="eastAsia" w:ascii="仿宋" w:hAnsi="仿宋" w:eastAsia="仿宋"/>
          <w:color w:val="auto"/>
          <w:szCs w:val="28"/>
        </w:rPr>
        <w:t>制定</w:t>
      </w:r>
      <w:r>
        <w:rPr>
          <w:rFonts w:ascii="仿宋" w:hAnsi="仿宋" w:eastAsia="仿宋"/>
          <w:color w:val="auto"/>
          <w:szCs w:val="28"/>
        </w:rPr>
        <w:t>保证措施</w:t>
      </w:r>
      <w:r>
        <w:rPr>
          <w:rFonts w:hint="eastAsia" w:ascii="仿宋" w:hAnsi="仿宋" w:eastAsia="仿宋"/>
          <w:color w:val="auto"/>
          <w:szCs w:val="28"/>
        </w:rPr>
        <w:t>，包括工作底稿、档案管理、成果文件质量管理等措施</w:t>
      </w:r>
      <w:r>
        <w:rPr>
          <w:rFonts w:ascii="仿宋" w:hAnsi="仿宋" w:eastAsia="仿宋"/>
          <w:color w:val="auto"/>
          <w:szCs w:val="28"/>
        </w:rPr>
        <w:t>。（</w:t>
      </w:r>
      <w:r>
        <w:rPr>
          <w:rFonts w:hint="eastAsia" w:ascii="仿宋" w:hAnsi="仿宋" w:eastAsia="仿宋"/>
          <w:color w:val="auto"/>
          <w:szCs w:val="28"/>
        </w:rPr>
        <w:t>得分0</w:t>
      </w:r>
      <w:r>
        <w:rPr>
          <w:rFonts w:ascii="仿宋" w:hAnsi="仿宋" w:eastAsia="仿宋"/>
          <w:color w:val="auto"/>
          <w:szCs w:val="28"/>
        </w:rPr>
        <w:t>～</w:t>
      </w:r>
      <w:r>
        <w:rPr>
          <w:rFonts w:hint="eastAsia" w:ascii="仿宋" w:hAnsi="仿宋" w:eastAsia="仿宋"/>
          <w:color w:val="auto"/>
          <w:szCs w:val="28"/>
        </w:rPr>
        <w:t>8</w:t>
      </w:r>
      <w:r>
        <w:rPr>
          <w:rFonts w:ascii="仿宋" w:hAnsi="仿宋" w:eastAsia="仿宋"/>
          <w:color w:val="auto"/>
          <w:szCs w:val="28"/>
        </w:rPr>
        <w:t>分）</w:t>
      </w:r>
    </w:p>
    <w:p>
      <w:pPr>
        <w:pStyle w:val="21"/>
        <w:ind w:firstLine="480"/>
        <w:rPr>
          <w:rFonts w:ascii="仿宋" w:hAnsi="仿宋" w:eastAsia="仿宋"/>
          <w:color w:val="auto"/>
          <w:szCs w:val="28"/>
        </w:rPr>
      </w:pPr>
      <w:r>
        <w:rPr>
          <w:rFonts w:hint="eastAsia" w:ascii="仿宋" w:hAnsi="仿宋" w:eastAsia="仿宋"/>
          <w:color w:val="auto"/>
          <w:szCs w:val="28"/>
        </w:rPr>
        <w:t>2.4 合理化建议：</w:t>
      </w:r>
    </w:p>
    <w:p>
      <w:pPr>
        <w:pStyle w:val="21"/>
        <w:ind w:firstLine="480"/>
        <w:rPr>
          <w:rFonts w:ascii="仿宋" w:hAnsi="仿宋" w:eastAsia="仿宋"/>
          <w:color w:val="auto"/>
          <w:szCs w:val="28"/>
        </w:rPr>
      </w:pPr>
      <w:r>
        <w:rPr>
          <w:rFonts w:hint="eastAsia" w:ascii="仿宋" w:hAnsi="仿宋" w:eastAsia="仿宋"/>
          <w:color w:val="auto"/>
          <w:szCs w:val="28"/>
        </w:rPr>
        <w:t>比选申请人可根据自身工作经验，</w:t>
      </w:r>
      <w:r>
        <w:rPr>
          <w:rFonts w:ascii="仿宋" w:hAnsi="仿宋" w:eastAsia="仿宋"/>
          <w:color w:val="auto"/>
          <w:szCs w:val="28"/>
        </w:rPr>
        <w:t>对</w:t>
      </w:r>
      <w:r>
        <w:rPr>
          <w:rFonts w:hint="eastAsia" w:ascii="仿宋" w:hAnsi="仿宋" w:eastAsia="仿宋"/>
          <w:color w:val="auto"/>
          <w:szCs w:val="28"/>
        </w:rPr>
        <w:t>本次审计工作提出</w:t>
      </w:r>
      <w:r>
        <w:rPr>
          <w:rFonts w:ascii="仿宋" w:hAnsi="仿宋" w:eastAsia="仿宋"/>
          <w:color w:val="auto"/>
          <w:szCs w:val="28"/>
        </w:rPr>
        <w:t>合理化建议</w:t>
      </w:r>
      <w:r>
        <w:rPr>
          <w:rFonts w:hint="eastAsia" w:ascii="仿宋" w:hAnsi="仿宋" w:eastAsia="仿宋"/>
          <w:color w:val="auto"/>
          <w:szCs w:val="28"/>
        </w:rPr>
        <w:t>，评委会将对申请人的建议进行甄别，对其合理性做出主观评价。（0～10分）</w:t>
      </w:r>
    </w:p>
    <w:p>
      <w:pPr>
        <w:pStyle w:val="21"/>
        <w:ind w:firstLine="480"/>
        <w:rPr>
          <w:rFonts w:ascii="仿宋" w:hAnsi="仿宋" w:eastAsia="仿宋"/>
          <w:color w:val="auto"/>
          <w:szCs w:val="28"/>
        </w:rPr>
      </w:pPr>
      <w:r>
        <w:rPr>
          <w:rFonts w:hint="eastAsia" w:ascii="仿宋" w:hAnsi="仿宋" w:eastAsia="仿宋"/>
          <w:color w:val="auto"/>
          <w:szCs w:val="28"/>
        </w:rPr>
        <w:t>3、商务报价评分（最高得分30分）</w:t>
      </w:r>
    </w:p>
    <w:p>
      <w:pPr>
        <w:pStyle w:val="21"/>
        <w:ind w:firstLine="480"/>
        <w:rPr>
          <w:rFonts w:ascii="仿宋" w:hAnsi="仿宋" w:eastAsia="仿宋"/>
          <w:color w:val="auto"/>
          <w:szCs w:val="28"/>
        </w:rPr>
      </w:pPr>
      <w:r>
        <w:rPr>
          <w:rFonts w:hint="eastAsia" w:ascii="仿宋" w:hAnsi="仿宋" w:eastAsia="仿宋"/>
          <w:color w:val="auto"/>
          <w:szCs w:val="28"/>
        </w:rPr>
        <w:t>经资质审查合格的所有比选申请人的报价在比选控制范围以内的均为有效报价，以所有有效报价的算术平均值作为基准价，比选申请人最终比选报价等于平均价的得满分，与基准价有偏离的：每增加1%扣0.3分，每减少1%扣0.2分，不足1%的按1%计，扣完为止。</w:t>
      </w:r>
    </w:p>
    <w:p>
      <w:pPr>
        <w:pStyle w:val="21"/>
        <w:ind w:firstLine="480"/>
        <w:rPr>
          <w:rFonts w:ascii="仿宋" w:hAnsi="仿宋" w:eastAsia="仿宋"/>
          <w:color w:val="auto"/>
          <w:szCs w:val="28"/>
        </w:rPr>
      </w:pPr>
      <w:r>
        <w:rPr>
          <w:rFonts w:hint="eastAsia" w:ascii="仿宋" w:hAnsi="仿宋" w:eastAsia="仿宋"/>
          <w:color w:val="auto"/>
          <w:szCs w:val="28"/>
        </w:rPr>
        <w:t>4、 评选委员会根据综合评分情况，按照评审总得分（总分=资信业绩得分+咨询服务方案得分+商务报价得分）由高到低顺序推荐3名作为中选候选人。评审得分相同的，按照报价低者优先；如出现总分和价格均相同的情况，则采取随机抽签的方式确定中选候选人。</w:t>
      </w:r>
    </w:p>
    <w:p>
      <w:pPr>
        <w:pStyle w:val="21"/>
        <w:ind w:firstLine="480"/>
        <w:rPr>
          <w:rFonts w:ascii="仿宋" w:hAnsi="仿宋" w:eastAsia="仿宋"/>
          <w:color w:val="auto"/>
          <w:szCs w:val="28"/>
        </w:rPr>
      </w:pPr>
      <w:r>
        <w:rPr>
          <w:rFonts w:hint="eastAsia" w:ascii="仿宋" w:hAnsi="仿宋" w:eastAsia="仿宋"/>
          <w:color w:val="auto"/>
          <w:szCs w:val="28"/>
        </w:rPr>
        <w:t>三．确定中选人</w:t>
      </w:r>
    </w:p>
    <w:p>
      <w:pPr>
        <w:pStyle w:val="21"/>
        <w:ind w:firstLine="480"/>
        <w:rPr>
          <w:rFonts w:ascii="仿宋" w:hAnsi="仿宋" w:eastAsia="仿宋"/>
          <w:color w:val="auto"/>
          <w:szCs w:val="28"/>
        </w:rPr>
      </w:pPr>
      <w:r>
        <w:rPr>
          <w:rFonts w:hint="eastAsia" w:ascii="仿宋" w:hAnsi="仿宋" w:eastAsia="仿宋"/>
          <w:color w:val="auto"/>
          <w:szCs w:val="28"/>
        </w:rPr>
        <w:t>排名第一的成交候选人放弃成交或因不可抗力提出不能履行合同；或未能在规定时间内与采购人签订合同的；或者经质疑，采购人审查后，确认因排名第一的候选人在本次比选活动中存在违法违规行为或其他原因使质疑成立的，比选人可以视情况确定排名第二的候选人为中选人；并以此类推。</w:t>
      </w:r>
    </w:p>
    <w:p>
      <w:pPr>
        <w:pStyle w:val="21"/>
        <w:ind w:firstLine="480"/>
        <w:rPr>
          <w:rFonts w:ascii="仿宋" w:hAnsi="仿宋" w:eastAsia="仿宋"/>
          <w:color w:val="auto"/>
          <w:szCs w:val="28"/>
        </w:rPr>
      </w:pPr>
      <w:r>
        <w:rPr>
          <w:rFonts w:hint="eastAsia" w:ascii="仿宋" w:hAnsi="仿宋" w:eastAsia="仿宋"/>
          <w:color w:val="auto"/>
          <w:szCs w:val="28"/>
        </w:rPr>
        <w:t>本次比选结果将在成都益民投资集团有限公司官方网站（http://www.ymtzjt.com）通知公告栏发布公示。</w:t>
      </w:r>
    </w:p>
    <w:p>
      <w:pPr>
        <w:pStyle w:val="21"/>
        <w:ind w:firstLine="480"/>
        <w:rPr>
          <w:rFonts w:ascii="仿宋" w:hAnsi="仿宋" w:eastAsia="仿宋"/>
          <w:color w:val="auto"/>
          <w:szCs w:val="28"/>
        </w:rPr>
      </w:pPr>
    </w:p>
    <w:p>
      <w:pPr>
        <w:pStyle w:val="21"/>
        <w:ind w:firstLine="5760" w:firstLineChars="2400"/>
        <w:rPr>
          <w:rFonts w:ascii="仿宋" w:hAnsi="仿宋" w:eastAsia="仿宋" w:cs="仿宋"/>
          <w:color w:val="auto"/>
        </w:rPr>
      </w:pPr>
      <w:r>
        <w:rPr>
          <w:rFonts w:hint="eastAsia" w:ascii="仿宋" w:hAnsi="仿宋" w:eastAsia="仿宋" w:cs="仿宋"/>
          <w:color w:val="auto"/>
        </w:rPr>
        <w:t>成都粮食集团有限公司</w:t>
      </w:r>
    </w:p>
    <w:p>
      <w:pPr>
        <w:pStyle w:val="21"/>
        <w:ind w:firstLine="6000" w:firstLineChars="2500"/>
        <w:rPr>
          <w:rFonts w:ascii="仿宋" w:hAnsi="仿宋" w:eastAsia="仿宋"/>
          <w:color w:val="auto"/>
          <w:szCs w:val="28"/>
        </w:rPr>
      </w:pPr>
      <w:r>
        <w:rPr>
          <w:rFonts w:hint="eastAsia" w:ascii="仿宋" w:hAnsi="仿宋" w:eastAsia="仿宋" w:cs="仿宋"/>
          <w:color w:val="auto"/>
        </w:rPr>
        <w:t>202</w:t>
      </w:r>
      <w:r>
        <w:rPr>
          <w:rFonts w:hint="eastAsia" w:ascii="仿宋" w:hAnsi="仿宋" w:eastAsia="仿宋" w:cs="仿宋"/>
          <w:color w:val="auto"/>
          <w:lang w:val="en-US" w:eastAsia="zh-CN"/>
        </w:rPr>
        <w:t>3</w:t>
      </w:r>
      <w:r>
        <w:rPr>
          <w:rFonts w:hint="eastAsia" w:ascii="仿宋" w:hAnsi="仿宋" w:eastAsia="仿宋" w:cs="仿宋"/>
          <w:color w:val="auto"/>
        </w:rPr>
        <w:t>年</w:t>
      </w:r>
      <w:r>
        <w:rPr>
          <w:rFonts w:hint="eastAsia" w:ascii="仿宋" w:hAnsi="仿宋" w:eastAsia="仿宋" w:cs="仿宋"/>
          <w:color w:val="auto"/>
          <w:lang w:val="en-US" w:eastAsia="zh-CN"/>
        </w:rPr>
        <w:t>12</w:t>
      </w:r>
      <w:r>
        <w:rPr>
          <w:rFonts w:hint="eastAsia" w:ascii="仿宋" w:hAnsi="仿宋" w:eastAsia="仿宋" w:cs="仿宋"/>
          <w:color w:val="auto"/>
        </w:rPr>
        <w:t>月</w:t>
      </w:r>
      <w:r>
        <w:rPr>
          <w:rFonts w:hint="eastAsia" w:ascii="仿宋" w:hAnsi="仿宋" w:eastAsia="仿宋" w:cs="仿宋"/>
          <w:color w:val="auto"/>
          <w:lang w:val="en-US" w:eastAsia="zh-CN"/>
        </w:rPr>
        <w:t>29</w:t>
      </w:r>
      <w:bookmarkStart w:id="1" w:name="_GoBack"/>
      <w:bookmarkEnd w:id="1"/>
      <w:r>
        <w:rPr>
          <w:rFonts w:hint="eastAsia" w:ascii="仿宋" w:hAnsi="仿宋" w:eastAsia="仿宋" w:cs="仿宋"/>
          <w:color w:val="auto"/>
        </w:rPr>
        <w:t>日</w:t>
      </w:r>
    </w:p>
    <w:sectPr>
      <w:headerReference r:id="rId3" w:type="default"/>
      <w:footerReference r:id="rId4" w:type="default"/>
      <w:pgSz w:w="11906" w:h="16838"/>
      <w:pgMar w:top="1440" w:right="1800" w:bottom="1440" w:left="1800"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3</w:t>
    </w:r>
    <w:r>
      <w:rPr>
        <w:rFonts w:ascii="宋体" w:hAnsi="宋体"/>
        <w:sz w:val="21"/>
        <w:szCs w:val="21"/>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right w:val="none" w:color="auto" w:sz="0" w:space="31"/>
      </w:pBdr>
      <w:jc w:val="right"/>
      <w:rPr>
        <w:sz w:val="21"/>
        <w:szCs w:val="21"/>
      </w:rPr>
    </w:pPr>
  </w:p>
  <w:p>
    <w:pPr>
      <w:pStyle w:val="11"/>
      <w:pBdr>
        <w:right w:val="none" w:color="auto" w:sz="0" w:space="31"/>
      </w:pBdr>
      <w:jc w:val="right"/>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hideSpellingErrors/>
  <w:hideGrammaticalError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kNTAyY2ZhNDViODliYTllOTMzMTVkNzg5MzNhODgifQ=="/>
  </w:docVars>
  <w:rsids>
    <w:rsidRoot w:val="00D60454"/>
    <w:rsid w:val="001B2872"/>
    <w:rsid w:val="002F5C61"/>
    <w:rsid w:val="00396872"/>
    <w:rsid w:val="00630055"/>
    <w:rsid w:val="006549C1"/>
    <w:rsid w:val="00730996"/>
    <w:rsid w:val="007F0ADE"/>
    <w:rsid w:val="008043F9"/>
    <w:rsid w:val="00BD44ED"/>
    <w:rsid w:val="00D1463D"/>
    <w:rsid w:val="00D60454"/>
    <w:rsid w:val="00D835CA"/>
    <w:rsid w:val="09107B97"/>
    <w:rsid w:val="0D666124"/>
    <w:rsid w:val="13C54024"/>
    <w:rsid w:val="26DA3399"/>
    <w:rsid w:val="2F5709F4"/>
    <w:rsid w:val="318C6681"/>
    <w:rsid w:val="31A81E84"/>
    <w:rsid w:val="34CE77C2"/>
    <w:rsid w:val="391C08A2"/>
    <w:rsid w:val="3B1D2357"/>
    <w:rsid w:val="42412FC9"/>
    <w:rsid w:val="4554016D"/>
    <w:rsid w:val="51EB4C37"/>
    <w:rsid w:val="53F9330E"/>
    <w:rsid w:val="59507EDD"/>
    <w:rsid w:val="5CDB4BF6"/>
    <w:rsid w:val="60AD12C6"/>
    <w:rsid w:val="613D69EB"/>
    <w:rsid w:val="65B942EA"/>
    <w:rsid w:val="6B237E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宋体"/>
      <w:sz w:val="21"/>
      <w:szCs w:val="22"/>
      <w:lang w:val="en-US" w:eastAsia="zh-CN" w:bidi="ar-SA"/>
    </w:rPr>
  </w:style>
  <w:style w:type="paragraph" w:styleId="3">
    <w:name w:val="heading 1"/>
    <w:basedOn w:val="1"/>
    <w:next w:val="1"/>
    <w:link w:val="22"/>
    <w:qFormat/>
    <w:uiPriority w:val="0"/>
    <w:pPr>
      <w:pageBreakBefore/>
      <w:spacing w:beforeLines="200"/>
      <w:jc w:val="center"/>
      <w:outlineLvl w:val="0"/>
    </w:pPr>
    <w:rPr>
      <w:b/>
      <w:sz w:val="30"/>
    </w:rPr>
  </w:style>
  <w:style w:type="paragraph" w:styleId="4">
    <w:name w:val="heading 2"/>
    <w:basedOn w:val="1"/>
    <w:next w:val="1"/>
    <w:link w:val="23"/>
    <w:qFormat/>
    <w:uiPriority w:val="0"/>
    <w:pPr>
      <w:keepLines/>
      <w:widowControl w:val="0"/>
      <w:adjustRightInd w:val="0"/>
      <w:snapToGrid w:val="0"/>
      <w:spacing w:line="360" w:lineRule="auto"/>
      <w:jc w:val="both"/>
      <w:outlineLvl w:val="1"/>
    </w:pPr>
    <w:rPr>
      <w:rFonts w:ascii="Arial" w:hAnsi="Arial" w:cs="Times New Roman"/>
      <w:b/>
      <w:bCs/>
      <w:kern w:val="2"/>
      <w:sz w:val="28"/>
      <w:szCs w:val="32"/>
    </w:rPr>
  </w:style>
  <w:style w:type="paragraph" w:styleId="5">
    <w:name w:val="heading 3"/>
    <w:basedOn w:val="1"/>
    <w:next w:val="1"/>
    <w:link w:val="33"/>
    <w:qFormat/>
    <w:uiPriority w:val="0"/>
    <w:pPr>
      <w:pageBreakBefore/>
      <w:widowControl w:val="0"/>
      <w:spacing w:before="260" w:after="260" w:line="415" w:lineRule="auto"/>
      <w:jc w:val="center"/>
      <w:outlineLvl w:val="2"/>
    </w:pPr>
    <w:rPr>
      <w:b/>
      <w:bCs/>
      <w:sz w:val="32"/>
      <w:szCs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style>
  <w:style w:type="paragraph" w:styleId="7">
    <w:name w:val="Normal Indent"/>
    <w:basedOn w:val="1"/>
    <w:qFormat/>
    <w:uiPriority w:val="0"/>
    <w:pPr>
      <w:ind w:firstLine="420" w:firstLineChars="200"/>
    </w:pPr>
  </w:style>
  <w:style w:type="paragraph" w:styleId="8">
    <w:name w:val="annotation text"/>
    <w:basedOn w:val="1"/>
    <w:link w:val="24"/>
    <w:qFormat/>
    <w:uiPriority w:val="0"/>
    <w:pPr>
      <w:widowControl w:val="0"/>
      <w:adjustRightInd w:val="0"/>
      <w:spacing w:line="360" w:lineRule="atLeast"/>
      <w:textAlignment w:val="baseline"/>
    </w:pPr>
    <w:rPr>
      <w:rFonts w:ascii="Times New Roman" w:hAnsi="Times New Roman" w:cs="Times New Roman"/>
      <w:sz w:val="24"/>
      <w:szCs w:val="20"/>
    </w:rPr>
  </w:style>
  <w:style w:type="paragraph" w:styleId="9">
    <w:name w:val="Balloon Text"/>
    <w:basedOn w:val="1"/>
    <w:link w:val="25"/>
    <w:qFormat/>
    <w:uiPriority w:val="0"/>
    <w:rPr>
      <w:sz w:val="18"/>
      <w:szCs w:val="18"/>
    </w:rPr>
  </w:style>
  <w:style w:type="paragraph" w:styleId="10">
    <w:name w:val="footer"/>
    <w:basedOn w:val="1"/>
    <w:link w:val="26"/>
    <w:qFormat/>
    <w:uiPriority w:val="99"/>
    <w:pPr>
      <w:tabs>
        <w:tab w:val="center" w:pos="4153"/>
        <w:tab w:val="right" w:pos="8306"/>
      </w:tabs>
      <w:snapToGrid w:val="0"/>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2">
    <w:name w:val="Subtitle"/>
    <w:basedOn w:val="1"/>
    <w:next w:val="1"/>
    <w:link w:val="30"/>
    <w:qFormat/>
    <w:uiPriority w:val="0"/>
    <w:pPr>
      <w:spacing w:before="240" w:after="60" w:line="312" w:lineRule="auto"/>
      <w:jc w:val="center"/>
      <w:outlineLvl w:val="1"/>
    </w:pPr>
    <w:rPr>
      <w:rFonts w:ascii="Calibri Light" w:hAnsi="Calibri Light"/>
      <w:b/>
      <w:bCs/>
      <w:kern w:val="28"/>
      <w:sz w:val="32"/>
      <w:szCs w:val="32"/>
    </w:rPr>
  </w:style>
  <w:style w:type="paragraph" w:styleId="13">
    <w:name w:val="Normal (Web)"/>
    <w:basedOn w:val="1"/>
    <w:qFormat/>
    <w:uiPriority w:val="0"/>
    <w:pPr>
      <w:spacing w:before="100" w:beforeAutospacing="1" w:after="100" w:afterAutospacing="1"/>
    </w:pPr>
    <w:rPr>
      <w:sz w:val="24"/>
    </w:rPr>
  </w:style>
  <w:style w:type="paragraph" w:styleId="14">
    <w:name w:val="Title"/>
    <w:basedOn w:val="1"/>
    <w:next w:val="1"/>
    <w:qFormat/>
    <w:uiPriority w:val="0"/>
    <w:pPr>
      <w:spacing w:before="240" w:after="60" w:line="560" w:lineRule="exact"/>
      <w:ind w:left="420" w:leftChars="100" w:right="100" w:rightChars="100"/>
      <w:jc w:val="center"/>
      <w:outlineLvl w:val="0"/>
    </w:pPr>
    <w:rPr>
      <w:rFonts w:ascii="Cambria" w:hAnsi="Cambria" w:eastAsia="方正小标宋简体" w:cs="Times New Roman"/>
      <w:bCs/>
      <w:sz w:val="44"/>
      <w:szCs w:val="32"/>
    </w:rPr>
  </w:style>
  <w:style w:type="paragraph" w:styleId="15">
    <w:name w:val="annotation subject"/>
    <w:basedOn w:val="8"/>
    <w:next w:val="8"/>
    <w:link w:val="28"/>
    <w:qFormat/>
    <w:uiPriority w:val="0"/>
    <w:pPr>
      <w:widowControl/>
      <w:adjustRightInd/>
      <w:spacing w:line="240" w:lineRule="auto"/>
      <w:textAlignment w:val="auto"/>
    </w:pPr>
    <w:rPr>
      <w:rFonts w:ascii="Calibri" w:hAnsi="Calibri" w:cs="宋体"/>
      <w:b/>
      <w:bCs/>
      <w:sz w:val="21"/>
      <w:szCs w:val="2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Emphasis"/>
    <w:basedOn w:val="18"/>
    <w:qFormat/>
    <w:uiPriority w:val="0"/>
    <w:rPr>
      <w:i/>
    </w:rPr>
  </w:style>
  <w:style w:type="character" w:styleId="20">
    <w:name w:val="annotation reference"/>
    <w:basedOn w:val="18"/>
    <w:qFormat/>
    <w:uiPriority w:val="0"/>
    <w:rPr>
      <w:sz w:val="21"/>
      <w:szCs w:val="21"/>
    </w:rPr>
  </w:style>
  <w:style w:type="paragraph" w:customStyle="1" w:styleId="21">
    <w:name w:val="文件正文"/>
    <w:basedOn w:val="1"/>
    <w:qFormat/>
    <w:uiPriority w:val="0"/>
    <w:pPr>
      <w:widowControl w:val="0"/>
      <w:adjustRightInd w:val="0"/>
      <w:snapToGrid w:val="0"/>
      <w:spacing w:line="360" w:lineRule="auto"/>
      <w:ind w:firstLine="200" w:firstLineChars="200"/>
      <w:textAlignment w:val="baseline"/>
    </w:pPr>
    <w:rPr>
      <w:rFonts w:ascii="宋体" w:hAnsi="宋体"/>
      <w:color w:val="0D0D0D"/>
      <w:sz w:val="24"/>
      <w:szCs w:val="23"/>
    </w:rPr>
  </w:style>
  <w:style w:type="character" w:customStyle="1" w:styleId="22">
    <w:name w:val="标题 1 Char"/>
    <w:basedOn w:val="18"/>
    <w:link w:val="3"/>
    <w:qFormat/>
    <w:uiPriority w:val="0"/>
    <w:rPr>
      <w:rFonts w:ascii="宋体" w:hAnsi="宋体" w:eastAsia="宋体"/>
      <w:b/>
      <w:color w:val="0D0D0D"/>
      <w:sz w:val="30"/>
      <w:szCs w:val="23"/>
    </w:rPr>
  </w:style>
  <w:style w:type="character" w:customStyle="1" w:styleId="23">
    <w:name w:val="标题 2 Char"/>
    <w:basedOn w:val="18"/>
    <w:link w:val="4"/>
    <w:qFormat/>
    <w:uiPriority w:val="0"/>
    <w:rPr>
      <w:rFonts w:ascii="Arial" w:hAnsi="Arial" w:eastAsia="宋体" w:cs="Times New Roman"/>
      <w:b/>
      <w:bCs/>
      <w:kern w:val="2"/>
      <w:sz w:val="28"/>
      <w:szCs w:val="32"/>
    </w:rPr>
  </w:style>
  <w:style w:type="character" w:customStyle="1" w:styleId="24">
    <w:name w:val="批注文字 Char"/>
    <w:basedOn w:val="18"/>
    <w:link w:val="8"/>
    <w:qFormat/>
    <w:uiPriority w:val="0"/>
    <w:rPr>
      <w:rFonts w:ascii="Times New Roman" w:hAnsi="Times New Roman" w:eastAsia="宋体" w:cs="Times New Roman"/>
      <w:sz w:val="24"/>
    </w:rPr>
  </w:style>
  <w:style w:type="character" w:customStyle="1" w:styleId="25">
    <w:name w:val="批注框文本 Char"/>
    <w:basedOn w:val="18"/>
    <w:link w:val="9"/>
    <w:qFormat/>
    <w:uiPriority w:val="0"/>
    <w:rPr>
      <w:sz w:val="18"/>
      <w:szCs w:val="18"/>
    </w:rPr>
  </w:style>
  <w:style w:type="character" w:customStyle="1" w:styleId="26">
    <w:name w:val="页脚 Char"/>
    <w:basedOn w:val="18"/>
    <w:link w:val="10"/>
    <w:qFormat/>
    <w:uiPriority w:val="99"/>
    <w:rPr>
      <w:sz w:val="18"/>
      <w:szCs w:val="22"/>
    </w:rPr>
  </w:style>
  <w:style w:type="paragraph" w:customStyle="1" w:styleId="27">
    <w:name w:val="修订1"/>
    <w:qFormat/>
    <w:uiPriority w:val="99"/>
    <w:rPr>
      <w:rFonts w:ascii="Calibri" w:hAnsi="Calibri" w:eastAsia="宋体" w:cs="宋体"/>
      <w:sz w:val="21"/>
      <w:szCs w:val="22"/>
      <w:lang w:val="en-US" w:eastAsia="zh-CN" w:bidi="ar-SA"/>
    </w:rPr>
  </w:style>
  <w:style w:type="character" w:customStyle="1" w:styleId="28">
    <w:name w:val="批注主题 Char"/>
    <w:basedOn w:val="24"/>
    <w:link w:val="15"/>
    <w:qFormat/>
    <w:uiPriority w:val="0"/>
    <w:rPr>
      <w:rFonts w:ascii="Times New Roman" w:hAnsi="Times New Roman" w:eastAsia="宋体" w:cs="Times New Roman"/>
      <w:b/>
      <w:bCs/>
      <w:sz w:val="21"/>
      <w:szCs w:val="22"/>
    </w:rPr>
  </w:style>
  <w:style w:type="paragraph" w:customStyle="1" w:styleId="29">
    <w:name w:val="列出段落2"/>
    <w:basedOn w:val="1"/>
    <w:qFormat/>
    <w:uiPriority w:val="99"/>
    <w:pPr>
      <w:ind w:firstLine="420" w:firstLineChars="200"/>
    </w:pPr>
  </w:style>
  <w:style w:type="character" w:customStyle="1" w:styleId="30">
    <w:name w:val="副标题 Char"/>
    <w:basedOn w:val="18"/>
    <w:link w:val="12"/>
    <w:qFormat/>
    <w:uiPriority w:val="0"/>
    <w:rPr>
      <w:rFonts w:ascii="Calibri Light" w:hAnsi="Calibri Light" w:eastAsia="宋体" w:cs="宋体"/>
      <w:b/>
      <w:bCs/>
      <w:kern w:val="28"/>
      <w:sz w:val="32"/>
      <w:szCs w:val="32"/>
    </w:rPr>
  </w:style>
  <w:style w:type="paragraph" w:customStyle="1" w:styleId="31">
    <w:name w:val="列出段落21"/>
    <w:basedOn w:val="1"/>
    <w:qFormat/>
    <w:uiPriority w:val="99"/>
    <w:pPr>
      <w:ind w:firstLine="420" w:firstLineChars="200"/>
    </w:pPr>
  </w:style>
  <w:style w:type="paragraph" w:customStyle="1" w:styleId="32">
    <w:name w:val="表头"/>
    <w:basedOn w:val="21"/>
    <w:qFormat/>
    <w:uiPriority w:val="0"/>
    <w:pPr>
      <w:ind w:firstLine="0" w:firstLineChars="0"/>
      <w:jc w:val="center"/>
    </w:pPr>
    <w:rPr>
      <w:b/>
      <w:sz w:val="32"/>
    </w:rPr>
  </w:style>
  <w:style w:type="character" w:customStyle="1" w:styleId="33">
    <w:name w:val="标题 3 Char"/>
    <w:basedOn w:val="18"/>
    <w:link w:val="5"/>
    <w:qFormat/>
    <w:uiPriority w:val="0"/>
    <w:rPr>
      <w:b/>
      <w:bCs/>
      <w:sz w:val="32"/>
      <w:szCs w:val="32"/>
    </w:rPr>
  </w:style>
  <w:style w:type="paragraph" w:customStyle="1" w:styleId="34">
    <w:name w:val="修订2"/>
    <w:qFormat/>
    <w:uiPriority w:val="99"/>
    <w:rPr>
      <w:rFonts w:ascii="Calibri" w:hAnsi="Calibri" w:eastAsia="宋体" w:cs="宋体"/>
      <w:sz w:val="21"/>
      <w:szCs w:val="22"/>
      <w:lang w:val="en-US" w:eastAsia="zh-CN" w:bidi="ar-SA"/>
    </w:rPr>
  </w:style>
  <w:style w:type="character" w:customStyle="1" w:styleId="35">
    <w:name w:val="font01"/>
    <w:basedOn w:val="18"/>
    <w:qFormat/>
    <w:uiPriority w:val="0"/>
    <w:rPr>
      <w:rFonts w:hint="eastAsia" w:ascii="宋体" w:hAnsi="宋体" w:eastAsia="宋体" w:cs="宋体"/>
      <w:color w:val="000000"/>
      <w:sz w:val="24"/>
      <w:szCs w:val="24"/>
      <w:u w:val="none"/>
    </w:rPr>
  </w:style>
  <w:style w:type="character" w:customStyle="1" w:styleId="36">
    <w:name w:val="font91"/>
    <w:basedOn w:val="18"/>
    <w:qFormat/>
    <w:uiPriority w:val="0"/>
    <w:rPr>
      <w:rFonts w:hint="default" w:ascii="Times New Roman" w:hAnsi="Times New Roman" w:cs="Times New Roman"/>
      <w:color w:val="FF0000"/>
      <w:sz w:val="24"/>
      <w:szCs w:val="24"/>
      <w:u w:val="none"/>
    </w:rPr>
  </w:style>
  <w:style w:type="character" w:customStyle="1" w:styleId="37">
    <w:name w:val="font21"/>
    <w:basedOn w:val="18"/>
    <w:qFormat/>
    <w:uiPriority w:val="0"/>
    <w:rPr>
      <w:rFonts w:hint="eastAsia" w:ascii="宋体" w:hAnsi="宋体" w:eastAsia="宋体" w:cs="宋体"/>
      <w:color w:val="FF0000"/>
      <w:sz w:val="24"/>
      <w:szCs w:val="24"/>
      <w:u w:val="none"/>
    </w:rPr>
  </w:style>
  <w:style w:type="character" w:customStyle="1" w:styleId="38">
    <w:name w:val="font51"/>
    <w:basedOn w:val="18"/>
    <w:qFormat/>
    <w:uiPriority w:val="0"/>
    <w:rPr>
      <w:rFonts w:hint="default" w:ascii="Times New Roman" w:hAnsi="Times New Roman" w:cs="Times New Roman"/>
      <w:color w:val="000000"/>
      <w:sz w:val="24"/>
      <w:szCs w:val="24"/>
      <w:u w:val="none"/>
    </w:rPr>
  </w:style>
  <w:style w:type="character" w:customStyle="1" w:styleId="39">
    <w:name w:val="font101"/>
    <w:basedOn w:val="18"/>
    <w:qFormat/>
    <w:uiPriority w:val="0"/>
    <w:rPr>
      <w:rFonts w:hint="eastAsia" w:ascii="宋体" w:hAnsi="宋体" w:eastAsia="宋体" w:cs="宋体"/>
      <w:b/>
      <w:color w:val="000000"/>
      <w:sz w:val="24"/>
      <w:szCs w:val="24"/>
      <w:u w:val="none"/>
    </w:rPr>
  </w:style>
  <w:style w:type="character" w:customStyle="1" w:styleId="40">
    <w:name w:val="font31"/>
    <w:basedOn w:val="18"/>
    <w:qFormat/>
    <w:uiPriority w:val="0"/>
    <w:rPr>
      <w:rFonts w:hint="default" w:ascii="Times New Roman" w:hAnsi="Times New Roman" w:cs="Times New Roman"/>
      <w:b/>
      <w:color w:val="000000"/>
      <w:sz w:val="24"/>
      <w:szCs w:val="24"/>
      <w:u w:val="none"/>
    </w:rPr>
  </w:style>
  <w:style w:type="character" w:customStyle="1" w:styleId="41">
    <w:name w:val="font61"/>
    <w:basedOn w:val="18"/>
    <w:qFormat/>
    <w:uiPriority w:val="0"/>
    <w:rPr>
      <w:rFonts w:hint="eastAsia" w:ascii="宋体" w:hAnsi="宋体" w:eastAsia="宋体" w:cs="宋体"/>
      <w:b/>
      <w:color w:val="000000"/>
      <w:sz w:val="24"/>
      <w:szCs w:val="24"/>
      <w:u w:val="none"/>
    </w:rPr>
  </w:style>
  <w:style w:type="paragraph" w:customStyle="1" w:styleId="42">
    <w:name w:val="Plain Text1"/>
    <w:basedOn w:val="1"/>
    <w:qFormat/>
    <w:uiPriority w:val="0"/>
    <w:pPr>
      <w:adjustRightInd w:val="0"/>
      <w:textAlignment w:val="baseline"/>
    </w:pPr>
    <w:rPr>
      <w:rFonts w:ascii="宋体" w:hAnsi="Courier New"/>
      <w:sz w:val="24"/>
    </w:rPr>
  </w:style>
  <w:style w:type="paragraph" w:styleId="43">
    <w:name w:val="List Paragraph"/>
    <w:basedOn w:val="1"/>
    <w:qFormat/>
    <w:uiPriority w:val="99"/>
    <w:pPr>
      <w:widowControl w:val="0"/>
      <w:autoSpaceDE w:val="0"/>
      <w:autoSpaceDN w:val="0"/>
      <w:ind w:firstLine="420" w:firstLineChars="200"/>
    </w:pPr>
    <w:rPr>
      <w:rFonts w:ascii="宋体" w:hAnsi="宋体"/>
      <w:sz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8E686-E931-4E3C-A655-E89D9B3BF0E6}">
  <ds:schemaRefs/>
</ds:datastoreItem>
</file>

<file path=docProps/app.xml><?xml version="1.0" encoding="utf-8"?>
<Properties xmlns="http://schemas.openxmlformats.org/officeDocument/2006/extended-properties" xmlns:vt="http://schemas.openxmlformats.org/officeDocument/2006/docPropsVTypes">
  <Template>Normal.dotm</Template>
  <Company>cscec</Company>
  <Pages>3</Pages>
  <Words>320</Words>
  <Characters>1828</Characters>
  <Lines>15</Lines>
  <Paragraphs>4</Paragraphs>
  <TotalTime>7</TotalTime>
  <ScaleCrop>false</ScaleCrop>
  <LinksUpToDate>false</LinksUpToDate>
  <CharactersWithSpaces>2144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2023-12-27T06:16:00Z</dcterms:created>
  <dc:creator>张小龙</dc:creator>
  <cp:lastModifiedBy>龚屏</cp:lastModifiedBy>
  <cp:lastPrinted>2018-10-29T03:16:00Z</cp:lastPrinted>
  <dcterms:modified xsi:type="dcterms:W3CDTF">2023-12-28T08:22:57Z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7E094B5265114F66A2AA327B44EB7A24_13</vt:lpwstr>
  </property>
</Properties>
</file>