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883" w:firstLineChars="200"/>
        <w:jc w:val="center"/>
        <w:rPr>
          <w:rFonts w:eastAsia="仿宋_GB2312"/>
          <w:b/>
          <w:bCs/>
          <w:sz w:val="44"/>
          <w:szCs w:val="44"/>
        </w:rPr>
      </w:pPr>
      <w:r>
        <w:rPr>
          <w:rFonts w:eastAsia="仿宋_GB2312"/>
          <w:b/>
          <w:bCs/>
          <w:sz w:val="44"/>
          <w:szCs w:val="44"/>
        </w:rPr>
        <w:t>专项审计业务约定书</w:t>
      </w:r>
    </w:p>
    <w:p>
      <w:pPr>
        <w:adjustRightInd w:val="0"/>
        <w:snapToGrid w:val="0"/>
        <w:spacing w:line="590" w:lineRule="exact"/>
        <w:ind w:firstLine="560" w:firstLineChars="200"/>
        <w:jc w:val="right"/>
        <w:rPr>
          <w:rFonts w:eastAsia="仿宋_GB2312"/>
          <w:sz w:val="28"/>
          <w:szCs w:val="28"/>
        </w:rPr>
      </w:pPr>
      <w:r>
        <w:rPr>
          <w:rFonts w:hint="eastAsia" w:eastAsia="仿宋_GB2312"/>
          <w:sz w:val="28"/>
          <w:szCs w:val="28"/>
        </w:rPr>
        <w:t>合同编号：C</w:t>
      </w:r>
      <w:r>
        <w:rPr>
          <w:rFonts w:eastAsia="仿宋_GB2312"/>
          <w:sz w:val="28"/>
          <w:szCs w:val="28"/>
        </w:rPr>
        <w:t>LJT-SJ-2023-</w:t>
      </w:r>
      <w:r>
        <w:rPr>
          <w:rFonts w:hint="eastAsia" w:eastAsia="仿宋_GB2312"/>
          <w:sz w:val="28"/>
          <w:szCs w:val="28"/>
        </w:rPr>
        <w:t>**</w:t>
      </w:r>
    </w:p>
    <w:p>
      <w:pPr>
        <w:adjustRightInd w:val="0"/>
        <w:snapToGrid w:val="0"/>
        <w:spacing w:line="590" w:lineRule="exact"/>
        <w:ind w:firstLine="640" w:firstLineChars="200"/>
        <w:rPr>
          <w:rFonts w:eastAsia="仿宋_GB2312"/>
          <w:sz w:val="32"/>
          <w:szCs w:val="32"/>
        </w:rPr>
      </w:pPr>
      <w:r>
        <w:rPr>
          <w:rFonts w:eastAsia="仿宋_GB2312"/>
          <w:sz w:val="32"/>
          <w:szCs w:val="32"/>
        </w:rPr>
        <w:t xml:space="preserve">甲方： </w:t>
      </w:r>
      <w:r>
        <w:rPr>
          <w:rFonts w:eastAsia="仿宋_GB2312"/>
          <w:sz w:val="32"/>
          <w:szCs w:val="32"/>
          <w:u w:val="single"/>
        </w:rPr>
        <w:t>成都粮食集团有限公司</w:t>
      </w:r>
    </w:p>
    <w:p>
      <w:pPr>
        <w:adjustRightInd w:val="0"/>
        <w:snapToGrid w:val="0"/>
        <w:spacing w:line="590" w:lineRule="exact"/>
        <w:ind w:firstLine="640" w:firstLineChars="200"/>
        <w:rPr>
          <w:rFonts w:eastAsia="仿宋_GB2312"/>
          <w:sz w:val="32"/>
          <w:szCs w:val="32"/>
        </w:rPr>
      </w:pPr>
      <w:r>
        <w:rPr>
          <w:rFonts w:eastAsia="仿宋_GB2312"/>
          <w:sz w:val="32"/>
          <w:szCs w:val="32"/>
        </w:rPr>
        <w:t xml:space="preserve">乙方： </w:t>
      </w:r>
      <w:r>
        <w:rPr>
          <w:rFonts w:hint="eastAsia" w:eastAsia="仿宋_GB2312"/>
          <w:sz w:val="32"/>
          <w:szCs w:val="32"/>
          <w:u w:val="single"/>
        </w:rPr>
        <w:t xml:space="preserve">                    </w:t>
      </w:r>
    </w:p>
    <w:p>
      <w:pPr>
        <w:adjustRightInd w:val="0"/>
        <w:snapToGrid w:val="0"/>
        <w:spacing w:line="590" w:lineRule="exact"/>
        <w:ind w:firstLine="640" w:firstLineChars="200"/>
        <w:rPr>
          <w:rFonts w:eastAsia="仿宋_GB2312"/>
          <w:sz w:val="32"/>
          <w:szCs w:val="32"/>
        </w:rPr>
      </w:pPr>
      <w:r>
        <w:rPr>
          <w:rFonts w:eastAsia="仿宋_GB2312"/>
          <w:sz w:val="32"/>
          <w:szCs w:val="32"/>
        </w:rPr>
        <w:t>兹由甲方委托乙方</w:t>
      </w:r>
      <w:bookmarkStart w:id="0" w:name="_Hlk133506949"/>
      <w:r>
        <w:rPr>
          <w:rFonts w:hint="eastAsia" w:eastAsia="仿宋_GB2312"/>
          <w:sz w:val="32"/>
          <w:szCs w:val="32"/>
        </w:rPr>
        <w:t>实施</w:t>
      </w:r>
      <w:r>
        <w:rPr>
          <w:rFonts w:eastAsia="仿宋_GB2312"/>
          <w:sz w:val="32"/>
          <w:szCs w:val="32"/>
        </w:rPr>
        <w:t>甲方</w:t>
      </w:r>
      <w:bookmarkEnd w:id="0"/>
      <w:r>
        <w:rPr>
          <w:rFonts w:hint="eastAsia" w:eastAsia="仿宋_GB2312"/>
          <w:sz w:val="32"/>
          <w:szCs w:val="32"/>
        </w:rPr>
        <w:t>所属成都成粮蓉泰供应链管理有限公司（以下简称被审计单位）企业领导人员经济责任审计和存续业务专项审计项目。</w:t>
      </w:r>
      <w:r>
        <w:rPr>
          <w:rFonts w:eastAsia="仿宋_GB2312"/>
          <w:sz w:val="32"/>
          <w:szCs w:val="32"/>
        </w:rPr>
        <w:t>经双方协商，达成以下约定：</w:t>
      </w:r>
    </w:p>
    <w:p>
      <w:pPr>
        <w:adjustRightInd w:val="0"/>
        <w:snapToGrid w:val="0"/>
        <w:spacing w:line="590" w:lineRule="exact"/>
        <w:ind w:firstLine="640" w:firstLineChars="200"/>
        <w:rPr>
          <w:rFonts w:ascii="黑体" w:hAnsi="黑体" w:eastAsia="黑体"/>
          <w:sz w:val="32"/>
          <w:szCs w:val="32"/>
        </w:rPr>
      </w:pPr>
      <w:r>
        <w:rPr>
          <w:rFonts w:ascii="黑体" w:hAnsi="黑体" w:eastAsia="黑体"/>
          <w:sz w:val="32"/>
          <w:szCs w:val="32"/>
        </w:rPr>
        <w:t>一、审计的目标和范围</w:t>
      </w:r>
    </w:p>
    <w:p>
      <w:pPr>
        <w:adjustRightInd w:val="0"/>
        <w:snapToGrid w:val="0"/>
        <w:spacing w:line="590" w:lineRule="exact"/>
        <w:ind w:firstLine="640" w:firstLineChars="200"/>
        <w:rPr>
          <w:rFonts w:eastAsia="仿宋_GB2312"/>
          <w:sz w:val="32"/>
          <w:szCs w:val="32"/>
          <w:u w:val="single"/>
        </w:rPr>
      </w:pPr>
      <w:r>
        <w:rPr>
          <w:rFonts w:eastAsia="仿宋_GB2312"/>
          <w:sz w:val="32"/>
          <w:szCs w:val="32"/>
        </w:rPr>
        <w:t>乙方接受甲方委托，</w:t>
      </w:r>
      <w:r>
        <w:rPr>
          <w:rFonts w:hint="eastAsia" w:eastAsia="仿宋_GB2312"/>
          <w:sz w:val="32"/>
          <w:szCs w:val="32"/>
        </w:rPr>
        <w:t>实施</w:t>
      </w:r>
      <w:r>
        <w:rPr>
          <w:rFonts w:eastAsia="仿宋_GB2312"/>
          <w:sz w:val="32"/>
          <w:szCs w:val="32"/>
          <w:u w:val="single"/>
        </w:rPr>
        <w:t>1.</w:t>
      </w:r>
      <w:r>
        <w:rPr>
          <w:rFonts w:hint="eastAsia" w:eastAsia="仿宋_GB2312"/>
          <w:sz w:val="32"/>
          <w:szCs w:val="32"/>
          <w:u w:val="single"/>
        </w:rPr>
        <w:t>成都成粮蓉泰供应链管理有限公司、原董事长（法定代表人）罗剑骁任期内(2020.2.26-2022.10.18)经济责任审计并出具经责审计报告；2.成都成粮蓉泰供应链管理有限公司存续业务专项审计并出具专项审计及档案归档整理。</w:t>
      </w:r>
    </w:p>
    <w:p>
      <w:pPr>
        <w:adjustRightInd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二、双方责任和义务</w:t>
      </w:r>
    </w:p>
    <w:p>
      <w:pPr>
        <w:adjustRightInd w:val="0"/>
        <w:snapToGrid w:val="0"/>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（一）甲方责任和义务：</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1.在审计过程中承担乙方和被审计单位之间有关事项的协调义务，协调被审计单位负责及时提供真实、完整的审计所需资料。</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2.确保乙方不受限制地接触与审计有关的记录、文件和所需的其他信息，确保相关人员与乙方的配合。</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3.协调被审计单位为乙方派出的工作人员提供必要的工作条件和协助。</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4.按约定及时足额支付审计费用。</w:t>
      </w:r>
    </w:p>
    <w:p>
      <w:pPr>
        <w:adjustRightInd w:val="0"/>
        <w:snapToGrid w:val="0"/>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（二）乙方的责任和义务：</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1.按本约定书要求并根据《党政主要领导干部和国有企事业单位主要领导人员经济责任审计规定》《成都粮食集团有限公司内部审计管理制度》《成都粮食集团有限公司内部审计管理制度》及参照《成都市市属国有企业审计监督实施办法》等相关规章制度进行审计，及时出具离任经济责任审计报告和存续业务专项审计报告，并对存续业务专项审计资料单独整理成档案。</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2.对在参加比选和审计项目实施过程中知悉的商业秘密及被审计单位提供的资料严加保密，除国家法律另有规定或经甲方正式授权外，乙方在任何时候都不得将其泄露。</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3.乙方及其工作人员不得获取与本次审计无关的信息资料。审计工作结束后应及时完整退还被审计单位提供的资料, 不再继续持有记录有被审计单位商业秘密的任何载体，不得进行备份。</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4.乙方实施本项目审计组负责人及主要成员：XXXXXXX。</w:t>
      </w:r>
    </w:p>
    <w:p>
      <w:pPr>
        <w:adjustRightInd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三、审计费用及报告</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1.包干总价：XX0000.00元（含税），大写：人民币元整。该服务费用已包含全部审计服务费用，包括但不限于人工费、加班费、咨询费、资料费、打印费、交通费、食宿费以及税费等，除以上费用外，甲方不再向乙方支付其他任务费用。</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 xml:space="preserve">2.支付方式：乙方向甲方出具审计报告初稿并开具合法有效的总金额50%增值税专用发票后，甲方按发票支付款项；乙方向甲方出具正式报告经甲方验收通过并开具合法有效总金额剩余50%增值税专用发票后，甲方支付剩余款项。如乙方未及时提供合格有效的发票，甲方有权拒绝付款，且不承担任何违约责任。 </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3.乙方应向甲方交付：纸制版审计报告各六份，PDF电子版一份，word版本一份。</w:t>
      </w:r>
    </w:p>
    <w:p>
      <w:pPr>
        <w:adjustRightInd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四、审计报告</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1.乙方按照甲方确定的时间进场，经责审计和存续业务审计工作于实施现场审计日起50个工作日内完成现场审计工作（若因甲方或被审计单位的原因造成不能按时完成现场工作时，经双方协商后审计时间可顺延），现场审计工作完成后15日内向甲方提交审计报告初稿，在甲方和被审计单位对审计报告初稿确认后5日内提交正式审计报告。</w:t>
      </w:r>
    </w:p>
    <w:p>
      <w:pPr>
        <w:adjustRightInd w:val="0"/>
        <w:snapToGrid w:val="0"/>
        <w:spacing w:line="590" w:lineRule="exact"/>
        <w:ind w:firstLine="640" w:firstLineChars="200"/>
      </w:pPr>
      <w:r>
        <w:rPr>
          <w:rFonts w:hint="eastAsia" w:eastAsia="仿宋_GB2312"/>
          <w:sz w:val="32"/>
          <w:szCs w:val="32"/>
        </w:rPr>
        <w:t>2.甲方在提交或对外公布乙方出具的审计报告时，不得对其进行修改。当甲方或被审计单位认为有必要修改会计数据、报表附注和所作的说明时，应当事先通知乙方，乙方将考虑有</w:t>
      </w:r>
      <w:r>
        <w:rPr>
          <w:rFonts w:eastAsia="仿宋_GB2312"/>
          <w:sz w:val="32"/>
          <w:szCs w:val="32"/>
        </w:rPr>
        <w:t>关的修改对审计报告的影响，必要时，将重新出具审计报告。乙方不就修改和重新出具审计报告加收任何费用。</w:t>
      </w:r>
    </w:p>
    <w:p>
      <w:pPr>
        <w:adjustRightInd w:val="0"/>
        <w:snapToGrid w:val="0"/>
        <w:spacing w:line="59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、违约责任</w:t>
      </w:r>
    </w:p>
    <w:p>
      <w:pPr>
        <w:pStyle w:val="2"/>
        <w:ind w:firstLine="640"/>
        <w:jc w:val="both"/>
        <w:rPr>
          <w:rFonts w:ascii="Times New Roman" w:hAnsi="Times New Roman" w:eastAsia="仿宋_GB2312"/>
          <w:b w:val="0"/>
          <w:szCs w:val="32"/>
        </w:rPr>
      </w:pPr>
      <w:r>
        <w:rPr>
          <w:rFonts w:ascii="Times New Roman" w:hAnsi="Times New Roman" w:eastAsia="仿宋_GB2312"/>
          <w:b w:val="0"/>
          <w:szCs w:val="32"/>
        </w:rPr>
        <w:t>1</w:t>
      </w:r>
      <w:r>
        <w:rPr>
          <w:rFonts w:hint="eastAsia" w:ascii="Times New Roman" w:hAnsi="Times New Roman" w:eastAsia="仿宋_GB2312"/>
          <w:b w:val="0"/>
          <w:szCs w:val="32"/>
        </w:rPr>
        <w:t>.</w:t>
      </w:r>
      <w:r>
        <w:rPr>
          <w:rFonts w:ascii="Times New Roman" w:hAnsi="Times New Roman" w:eastAsia="仿宋_GB2312"/>
          <w:b w:val="0"/>
          <w:szCs w:val="32"/>
        </w:rPr>
        <w:t>如乙方延迟交付审计报告，每延迟1日，应向甲方支付本合同总金额</w:t>
      </w:r>
      <w:bookmarkStart w:id="1" w:name="_Hlk133505925"/>
      <w:r>
        <w:rPr>
          <w:rFonts w:ascii="Times New Roman" w:hAnsi="Times New Roman" w:eastAsia="仿宋_GB2312"/>
          <w:b w:val="0"/>
          <w:szCs w:val="32"/>
        </w:rPr>
        <w:t>【5】%</w:t>
      </w:r>
      <w:bookmarkEnd w:id="1"/>
      <w:r>
        <w:rPr>
          <w:rFonts w:ascii="Times New Roman" w:hAnsi="Times New Roman" w:eastAsia="仿宋_GB2312"/>
          <w:b w:val="0"/>
          <w:szCs w:val="32"/>
        </w:rPr>
        <w:t>的违约金，延迟超过【6】日的，甲方有权另行委托第三方进行审计报告的编制工作，所产生的全部费用均由乙方承担。同时，甲方还有权解除本约定书，乙方应支付约定总金额</w:t>
      </w:r>
      <w:bookmarkStart w:id="2" w:name="_Hlk133505958"/>
      <w:r>
        <w:rPr>
          <w:rFonts w:ascii="Times New Roman" w:hAnsi="Times New Roman" w:eastAsia="仿宋_GB2312"/>
          <w:b w:val="0"/>
          <w:szCs w:val="32"/>
        </w:rPr>
        <w:t>【20】%</w:t>
      </w:r>
      <w:bookmarkEnd w:id="2"/>
      <w:r>
        <w:rPr>
          <w:rFonts w:ascii="Times New Roman" w:hAnsi="Times New Roman" w:eastAsia="仿宋_GB2312"/>
          <w:b w:val="0"/>
          <w:szCs w:val="32"/>
        </w:rPr>
        <w:t>违约金，违约金不足以弥补甲方损失的，还应赔偿甲方因此遭受的全部损失。</w:t>
      </w:r>
    </w:p>
    <w:p>
      <w:pPr>
        <w:pStyle w:val="2"/>
        <w:ind w:firstLine="640"/>
        <w:jc w:val="both"/>
        <w:rPr>
          <w:rFonts w:ascii="Times New Roman" w:hAnsi="Times New Roman" w:eastAsia="仿宋_GB2312"/>
          <w:b w:val="0"/>
          <w:szCs w:val="32"/>
        </w:rPr>
      </w:pPr>
      <w:r>
        <w:rPr>
          <w:rFonts w:ascii="Times New Roman" w:hAnsi="Times New Roman" w:eastAsia="仿宋_GB2312"/>
          <w:b w:val="0"/>
          <w:szCs w:val="32"/>
        </w:rPr>
        <w:t>2</w:t>
      </w:r>
      <w:r>
        <w:rPr>
          <w:rFonts w:hint="eastAsia" w:ascii="Times New Roman" w:hAnsi="Times New Roman" w:eastAsia="仿宋_GB2312"/>
          <w:b w:val="0"/>
          <w:szCs w:val="32"/>
        </w:rPr>
        <w:t>.</w:t>
      </w:r>
      <w:r>
        <w:rPr>
          <w:rFonts w:ascii="Times New Roman" w:hAnsi="Times New Roman" w:eastAsia="仿宋_GB2312"/>
          <w:b w:val="0"/>
          <w:szCs w:val="32"/>
        </w:rPr>
        <w:t>如乙方交付的审计报告不符合本约定书要求、报告内容失实、错误问题的，甲方有权要求乙方在限期内进行更改、重做，如乙方无法在限期内提供符合本约定书约定的审计报告，甲方有权另行委托第三方进行审计报告的编制工作，所产生的全部费用均由乙方承担。同时，甲方还有权解除本约定书，乙方应支付约定书总金额【20】%违约金，违约金不足以弥补甲方损失的，还应赔偿甲方因此遭受的全部损失。</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3.乙方如因工作疏忽造成漏审或定性定量错误以及私自隐瞒严重问题不向甲方报告的，一旦被发现，甲方有权将乙方列入业务禁入名单，永久终止乙方参与甲方及其所属单位的审计项目。同时，甲方有权解除合同，乙方应退还全部已收取费用并向甲方支付合同金额【</w:t>
      </w:r>
      <w:r>
        <w:rPr>
          <w:rFonts w:hint="eastAsia" w:eastAsia="仿宋_GB2312"/>
          <w:sz w:val="32"/>
          <w:szCs w:val="32"/>
          <w:lang w:val="en-US" w:eastAsia="zh-CN"/>
        </w:rPr>
        <w:t>20</w:t>
      </w:r>
      <w:r>
        <w:rPr>
          <w:rFonts w:hint="eastAsia" w:eastAsia="仿宋_GB2312"/>
          <w:sz w:val="32"/>
          <w:szCs w:val="32"/>
        </w:rPr>
        <w:t>】%的违约金。造成甲方损失的，应全额赔偿。</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4.本协议项下所称甲方损失包括直接损失、预期可得利益损失、律师费、鉴定费、保全费等全部费用。</w:t>
      </w:r>
    </w:p>
    <w:p>
      <w:pPr>
        <w:adjustRightInd w:val="0"/>
        <w:snapToGrid w:val="0"/>
        <w:spacing w:line="59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、适用法律和争议解决</w:t>
      </w:r>
    </w:p>
    <w:p>
      <w:pPr>
        <w:adjustRightInd w:val="0"/>
        <w:snapToGrid w:val="0"/>
        <w:spacing w:line="590" w:lineRule="exact"/>
        <w:ind w:firstLine="640" w:firstLineChars="200"/>
        <w:rPr>
          <w:rFonts w:eastAsia="仿宋_GB2312"/>
          <w:sz w:val="32"/>
          <w:szCs w:val="32"/>
        </w:rPr>
      </w:pPr>
      <w:r>
        <w:rPr>
          <w:rFonts w:eastAsia="仿宋_GB2312"/>
          <w:sz w:val="32"/>
          <w:szCs w:val="32"/>
        </w:rPr>
        <w:t>本约定书的所有方面均应适用中华人民共和国法律进行解释并受其约束。因本约定书引起的或与本约定书有关的任何纠纷或争议（包括关于本约定书条款的存在、效力或终上，或无效之后果），双方可向甲方所在地有管辖权的人民法院提起诉讼。</w:t>
      </w:r>
    </w:p>
    <w:p>
      <w:pPr>
        <w:adjustRightInd w:val="0"/>
        <w:snapToGrid w:val="0"/>
        <w:spacing w:line="59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、双方对其他有关事项的约定</w:t>
      </w:r>
    </w:p>
    <w:p>
      <w:pPr>
        <w:adjustRightInd w:val="0"/>
        <w:snapToGrid w:val="0"/>
        <w:spacing w:line="590" w:lineRule="exact"/>
        <w:ind w:firstLine="640" w:firstLineChars="200"/>
        <w:rPr>
          <w:rFonts w:eastAsia="仿宋_GB2312"/>
          <w:sz w:val="32"/>
          <w:szCs w:val="32"/>
        </w:rPr>
      </w:pPr>
      <w:r>
        <w:rPr>
          <w:rFonts w:eastAsia="仿宋_GB2312"/>
          <w:sz w:val="32"/>
          <w:szCs w:val="32"/>
        </w:rPr>
        <w:t>本约定书</w:t>
      </w:r>
      <w:r>
        <w:rPr>
          <w:rFonts w:hint="eastAsia" w:eastAsia="仿宋_GB2312"/>
          <w:sz w:val="32"/>
          <w:szCs w:val="32"/>
        </w:rPr>
        <w:t>经双方</w:t>
      </w:r>
      <w:r>
        <w:rPr>
          <w:rFonts w:hint="eastAsia" w:eastAsia="仿宋_GB2312"/>
          <w:sz w:val="32"/>
          <w:szCs w:val="32"/>
          <w:lang w:val="en-US" w:eastAsia="zh-CN"/>
        </w:rPr>
        <w:t>法定代表人</w:t>
      </w:r>
      <w:r>
        <w:rPr>
          <w:rFonts w:hint="eastAsia" w:eastAsia="仿宋_GB2312"/>
          <w:sz w:val="32"/>
          <w:szCs w:val="32"/>
        </w:rPr>
        <w:t>签字</w:t>
      </w:r>
      <w:r>
        <w:rPr>
          <w:rFonts w:hint="eastAsia" w:eastAsia="仿宋_GB2312"/>
          <w:sz w:val="32"/>
          <w:szCs w:val="32"/>
          <w:lang w:val="en-US" w:eastAsia="zh-CN"/>
        </w:rPr>
        <w:t>或签章并加盖公章</w:t>
      </w:r>
      <w:bookmarkStart w:id="3" w:name="_GoBack"/>
      <w:bookmarkEnd w:id="3"/>
      <w:r>
        <w:rPr>
          <w:rFonts w:hint="eastAsia" w:eastAsia="仿宋_GB2312"/>
          <w:sz w:val="32"/>
          <w:szCs w:val="32"/>
        </w:rPr>
        <w:t>后生效，</w:t>
      </w:r>
      <w:r>
        <w:rPr>
          <w:rFonts w:eastAsia="仿宋_GB2312"/>
          <w:sz w:val="32"/>
          <w:szCs w:val="32"/>
        </w:rPr>
        <w:t>一式肆份，甲方执叁份，乙方执壹份，具有同等法律效力。</w:t>
      </w:r>
    </w:p>
    <w:p>
      <w:pPr>
        <w:pStyle w:val="2"/>
        <w:ind w:firstLine="643" w:firstLineChars="200"/>
        <w:jc w:val="both"/>
        <w:rPr>
          <w:rFonts w:eastAsia="仿宋_GB2312"/>
          <w:szCs w:val="32"/>
        </w:rPr>
      </w:pPr>
      <w:r>
        <w:rPr>
          <w:rFonts w:hint="eastAsia" w:eastAsia="仿宋_GB2312"/>
          <w:szCs w:val="32"/>
        </w:rPr>
        <w:t>八、通知与送达</w:t>
      </w:r>
    </w:p>
    <w:p>
      <w:pPr>
        <w:pStyle w:val="2"/>
        <w:ind w:firstLine="640" w:firstLineChars="200"/>
        <w:jc w:val="both"/>
        <w:rPr>
          <w:rFonts w:eastAsia="仿宋_GB2312"/>
          <w:b w:val="0"/>
          <w:bCs/>
          <w:szCs w:val="32"/>
        </w:rPr>
      </w:pPr>
      <w:r>
        <w:rPr>
          <w:rFonts w:eastAsia="仿宋_GB2312"/>
          <w:b w:val="0"/>
          <w:bCs/>
          <w:szCs w:val="32"/>
        </w:rPr>
        <w:t>（一）双方确认以下预留联系地址、联系电话等信息为双方有效送达地址，适用范围包括协议履行过程双方互为发送的各类通知文件，以及因履行本协议发生争议进入诉讼/仲裁阶段，法院/仲裁机构向任何一方送达的诉讼文书/仲裁文书，任何一方变更以下送达地址信息的，应在变更前书面通知其他方。本协议其他条款约定有专门联系人、联系方式的，按照其他条款执行。</w:t>
      </w:r>
    </w:p>
    <w:p>
      <w:pPr>
        <w:pStyle w:val="2"/>
        <w:ind w:firstLine="640" w:firstLineChars="200"/>
        <w:jc w:val="both"/>
        <w:rPr>
          <w:rFonts w:eastAsia="仿宋_GB2312"/>
          <w:b w:val="0"/>
          <w:bCs/>
          <w:szCs w:val="32"/>
        </w:rPr>
      </w:pPr>
      <w:r>
        <w:rPr>
          <w:rFonts w:eastAsia="仿宋_GB2312"/>
          <w:b w:val="0"/>
          <w:bCs/>
          <w:szCs w:val="32"/>
        </w:rPr>
        <w:t>甲方送达地址：</w:t>
      </w:r>
    </w:p>
    <w:p>
      <w:pPr>
        <w:pStyle w:val="2"/>
        <w:ind w:firstLine="640" w:firstLineChars="200"/>
        <w:jc w:val="both"/>
        <w:rPr>
          <w:rFonts w:eastAsia="仿宋_GB2312"/>
          <w:b w:val="0"/>
          <w:bCs/>
          <w:szCs w:val="32"/>
        </w:rPr>
      </w:pPr>
      <w:r>
        <w:rPr>
          <w:rFonts w:eastAsia="仿宋_GB2312"/>
          <w:b w:val="0"/>
          <w:bCs/>
          <w:szCs w:val="32"/>
        </w:rPr>
        <w:t>联系人：</w:t>
      </w:r>
    </w:p>
    <w:p>
      <w:pPr>
        <w:pStyle w:val="2"/>
        <w:ind w:firstLine="640" w:firstLineChars="200"/>
        <w:jc w:val="both"/>
        <w:rPr>
          <w:rFonts w:eastAsia="仿宋_GB2312"/>
          <w:b w:val="0"/>
          <w:bCs/>
          <w:szCs w:val="32"/>
        </w:rPr>
      </w:pPr>
      <w:r>
        <w:rPr>
          <w:rFonts w:eastAsia="仿宋_GB2312"/>
          <w:b w:val="0"/>
          <w:bCs/>
          <w:szCs w:val="32"/>
        </w:rPr>
        <w:t>联系电话：</w:t>
      </w:r>
    </w:p>
    <w:p>
      <w:pPr>
        <w:pStyle w:val="2"/>
        <w:ind w:firstLine="640" w:firstLineChars="200"/>
        <w:jc w:val="both"/>
        <w:rPr>
          <w:rFonts w:eastAsia="仿宋_GB2312"/>
          <w:b w:val="0"/>
          <w:bCs/>
          <w:szCs w:val="32"/>
        </w:rPr>
      </w:pPr>
      <w:r>
        <w:rPr>
          <w:rFonts w:eastAsia="仿宋_GB2312"/>
          <w:b w:val="0"/>
          <w:bCs/>
          <w:szCs w:val="32"/>
        </w:rPr>
        <w:t>电子邮箱：</w:t>
      </w:r>
    </w:p>
    <w:p>
      <w:pPr>
        <w:pStyle w:val="2"/>
        <w:ind w:firstLine="640" w:firstLineChars="200"/>
        <w:jc w:val="both"/>
        <w:rPr>
          <w:rFonts w:eastAsia="仿宋_GB2312"/>
          <w:b w:val="0"/>
          <w:bCs/>
          <w:szCs w:val="32"/>
        </w:rPr>
      </w:pPr>
      <w:r>
        <w:rPr>
          <w:rFonts w:eastAsia="仿宋_GB2312"/>
          <w:b w:val="0"/>
          <w:bCs/>
          <w:szCs w:val="32"/>
        </w:rPr>
        <w:t>乙方送达地址：</w:t>
      </w:r>
    </w:p>
    <w:p>
      <w:pPr>
        <w:pStyle w:val="2"/>
        <w:ind w:firstLine="640" w:firstLineChars="200"/>
        <w:jc w:val="both"/>
        <w:rPr>
          <w:rFonts w:eastAsia="仿宋_GB2312"/>
          <w:b w:val="0"/>
          <w:bCs/>
          <w:szCs w:val="32"/>
        </w:rPr>
      </w:pPr>
      <w:r>
        <w:rPr>
          <w:rFonts w:eastAsia="仿宋_GB2312"/>
          <w:b w:val="0"/>
          <w:bCs/>
          <w:szCs w:val="32"/>
        </w:rPr>
        <w:t>联系人：</w:t>
      </w:r>
    </w:p>
    <w:p>
      <w:pPr>
        <w:pStyle w:val="2"/>
        <w:ind w:firstLine="640" w:firstLineChars="200"/>
        <w:jc w:val="both"/>
        <w:rPr>
          <w:rFonts w:eastAsia="仿宋_GB2312"/>
          <w:b w:val="0"/>
          <w:bCs/>
          <w:szCs w:val="32"/>
        </w:rPr>
      </w:pPr>
      <w:r>
        <w:rPr>
          <w:rFonts w:eastAsia="仿宋_GB2312"/>
          <w:b w:val="0"/>
          <w:bCs/>
          <w:szCs w:val="32"/>
        </w:rPr>
        <w:t>联系电话：</w:t>
      </w:r>
    </w:p>
    <w:p>
      <w:pPr>
        <w:pStyle w:val="2"/>
        <w:ind w:firstLine="640" w:firstLineChars="200"/>
        <w:jc w:val="both"/>
        <w:rPr>
          <w:rFonts w:eastAsia="仿宋_GB2312"/>
          <w:b w:val="0"/>
          <w:bCs/>
          <w:szCs w:val="32"/>
        </w:rPr>
      </w:pPr>
      <w:r>
        <w:rPr>
          <w:rFonts w:eastAsia="仿宋_GB2312"/>
          <w:b w:val="0"/>
          <w:bCs/>
          <w:szCs w:val="32"/>
        </w:rPr>
        <w:t>电子邮箱：</w:t>
      </w:r>
    </w:p>
    <w:p>
      <w:pPr>
        <w:pStyle w:val="2"/>
        <w:ind w:firstLine="640" w:firstLineChars="200"/>
        <w:jc w:val="both"/>
        <w:rPr>
          <w:rFonts w:eastAsia="仿宋_GB2312"/>
          <w:b w:val="0"/>
          <w:bCs/>
          <w:szCs w:val="32"/>
        </w:rPr>
      </w:pPr>
      <w:r>
        <w:rPr>
          <w:rFonts w:eastAsia="仿宋_GB2312"/>
          <w:b w:val="0"/>
          <w:bCs/>
          <w:szCs w:val="32"/>
        </w:rPr>
        <w:t>（二）任何一方因预留信息不准确或未履行变更通知手续，导致另一方或法院/仲裁机构仍然按照上述信息送达文件的，视为有效送达，该方自行承担有关送达的不利后果。邮寄送达的，自邮件寄出之日起第三日视为送达日；专人送达的，送达人在送达回执上记明有关情况之日视为送达日。</w:t>
      </w:r>
    </w:p>
    <w:tbl>
      <w:tblPr>
        <w:tblStyle w:val="8"/>
        <w:tblpPr w:leftFromText="180" w:rightFromText="180" w:vertAnchor="text" w:horzAnchor="page" w:tblpX="1121" w:tblpY="153"/>
        <w:tblOverlap w:val="never"/>
        <w:tblW w:w="9739" w:type="dxa"/>
        <w:tblInd w:w="0" w:type="dxa"/>
        <w:tblLayout w:type="fixed"/>
        <w:tblCellMar>
          <w:top w:w="0" w:type="dxa"/>
          <w:left w:w="108" w:type="dxa"/>
          <w:bottom w:w="0" w:type="dxa"/>
          <w:right w:w="108" w:type="dxa"/>
        </w:tblCellMar>
      </w:tblPr>
      <w:tblGrid>
        <w:gridCol w:w="4415"/>
        <w:gridCol w:w="5324"/>
      </w:tblGrid>
      <w:tr>
        <w:tblPrEx>
          <w:tblCellMar>
            <w:top w:w="0" w:type="dxa"/>
            <w:left w:w="108" w:type="dxa"/>
            <w:bottom w:w="0" w:type="dxa"/>
            <w:right w:w="108" w:type="dxa"/>
          </w:tblCellMar>
        </w:tblPrEx>
        <w:trPr>
          <w:cantSplit/>
          <w:trHeight w:val="1507" w:hRule="exact"/>
        </w:trPr>
        <w:tc>
          <w:tcPr>
            <w:tcW w:w="4415" w:type="dxa"/>
            <w:vAlign w:val="center"/>
          </w:tcPr>
          <w:p>
            <w:pPr>
              <w:adjustRightInd w:val="0"/>
              <w:snapToGrid w:val="0"/>
              <w:spacing w:line="590" w:lineRule="exact"/>
              <w:rPr>
                <w:rFonts w:eastAsia="仿宋_GB2312"/>
                <w:sz w:val="24"/>
              </w:rPr>
            </w:pPr>
            <w:r>
              <w:rPr>
                <w:rFonts w:eastAsia="仿宋_GB2312"/>
                <w:sz w:val="24"/>
              </w:rPr>
              <w:t>甲方（签章）：</w:t>
            </w:r>
            <w:r>
              <w:rPr>
                <w:rFonts w:hint="eastAsia" w:eastAsia="仿宋_GB2312"/>
                <w:sz w:val="24"/>
              </w:rPr>
              <w:t>成都粮食集团有限公司</w:t>
            </w:r>
          </w:p>
        </w:tc>
        <w:tc>
          <w:tcPr>
            <w:tcW w:w="5324" w:type="dxa"/>
            <w:vAlign w:val="center"/>
          </w:tcPr>
          <w:p>
            <w:pPr>
              <w:adjustRightInd w:val="0"/>
              <w:snapToGrid w:val="0"/>
              <w:spacing w:line="590" w:lineRule="exact"/>
              <w:rPr>
                <w:rFonts w:eastAsia="仿宋_GB2312"/>
                <w:sz w:val="24"/>
              </w:rPr>
            </w:pPr>
            <w:r>
              <w:rPr>
                <w:rFonts w:eastAsia="仿宋_GB2312"/>
                <w:sz w:val="24"/>
              </w:rPr>
              <w:t>乙方（签章）：</w:t>
            </w:r>
          </w:p>
        </w:tc>
      </w:tr>
      <w:tr>
        <w:tblPrEx>
          <w:tblCellMar>
            <w:top w:w="0" w:type="dxa"/>
            <w:left w:w="108" w:type="dxa"/>
            <w:bottom w:w="0" w:type="dxa"/>
            <w:right w:w="108" w:type="dxa"/>
          </w:tblCellMar>
        </w:tblPrEx>
        <w:trPr>
          <w:cantSplit/>
          <w:trHeight w:val="926" w:hRule="exact"/>
        </w:trPr>
        <w:tc>
          <w:tcPr>
            <w:tcW w:w="4415" w:type="dxa"/>
            <w:vAlign w:val="center"/>
          </w:tcPr>
          <w:p>
            <w:pPr>
              <w:adjustRightInd w:val="0"/>
              <w:snapToGrid w:val="0"/>
              <w:spacing w:line="590" w:lineRule="exact"/>
              <w:rPr>
                <w:rFonts w:eastAsia="仿宋_GB2312"/>
                <w:sz w:val="24"/>
              </w:rPr>
            </w:pPr>
            <w:r>
              <w:rPr>
                <w:rFonts w:eastAsia="仿宋_GB2312"/>
                <w:sz w:val="24"/>
              </w:rPr>
              <w:t>法定代表人（签章）：</w:t>
            </w:r>
          </w:p>
        </w:tc>
        <w:tc>
          <w:tcPr>
            <w:tcW w:w="5324" w:type="dxa"/>
            <w:vAlign w:val="center"/>
          </w:tcPr>
          <w:p>
            <w:pPr>
              <w:adjustRightInd w:val="0"/>
              <w:snapToGrid w:val="0"/>
              <w:spacing w:line="590" w:lineRule="exact"/>
              <w:rPr>
                <w:rFonts w:eastAsia="仿宋_GB2312"/>
                <w:sz w:val="24"/>
              </w:rPr>
            </w:pPr>
            <w:r>
              <w:rPr>
                <w:rFonts w:eastAsia="仿宋_GB2312"/>
                <w:sz w:val="24"/>
              </w:rPr>
              <w:t>法定代表人（签章）：</w:t>
            </w:r>
          </w:p>
        </w:tc>
      </w:tr>
      <w:tr>
        <w:tblPrEx>
          <w:tblCellMar>
            <w:top w:w="0" w:type="dxa"/>
            <w:left w:w="108" w:type="dxa"/>
            <w:bottom w:w="0" w:type="dxa"/>
            <w:right w:w="108" w:type="dxa"/>
          </w:tblCellMar>
        </w:tblPrEx>
        <w:trPr>
          <w:cantSplit/>
          <w:trHeight w:val="995" w:hRule="exact"/>
        </w:trPr>
        <w:tc>
          <w:tcPr>
            <w:tcW w:w="4415" w:type="dxa"/>
            <w:vAlign w:val="center"/>
          </w:tcPr>
          <w:p>
            <w:pPr>
              <w:adjustRightInd w:val="0"/>
              <w:snapToGrid w:val="0"/>
              <w:spacing w:line="500" w:lineRule="exact"/>
              <w:rPr>
                <w:rFonts w:eastAsia="仿宋_GB2312"/>
                <w:sz w:val="24"/>
              </w:rPr>
            </w:pPr>
            <w:r>
              <w:rPr>
                <w:rFonts w:eastAsia="仿宋_GB2312"/>
                <w:sz w:val="24"/>
              </w:rPr>
              <w:t>地址：</w:t>
            </w:r>
            <w:r>
              <w:rPr>
                <w:rFonts w:hint="eastAsia" w:eastAsia="仿宋_GB2312"/>
                <w:sz w:val="24"/>
              </w:rPr>
              <w:t>成都市武侯区天府大道北段28号茂业中心A座5楼</w:t>
            </w:r>
          </w:p>
        </w:tc>
        <w:tc>
          <w:tcPr>
            <w:tcW w:w="5324" w:type="dxa"/>
            <w:vAlign w:val="center"/>
          </w:tcPr>
          <w:p>
            <w:pPr>
              <w:adjustRightInd w:val="0"/>
              <w:snapToGrid w:val="0"/>
              <w:spacing w:line="590" w:lineRule="exact"/>
              <w:rPr>
                <w:rFonts w:eastAsia="仿宋_GB2312"/>
                <w:sz w:val="24"/>
              </w:rPr>
            </w:pPr>
            <w:r>
              <w:rPr>
                <w:rFonts w:eastAsia="仿宋_GB2312"/>
                <w:sz w:val="24"/>
              </w:rPr>
              <w:t>地址：</w:t>
            </w:r>
            <w:r>
              <w:rPr>
                <w:rFonts w:hint="eastAsia" w:eastAsia="仿宋_GB2312"/>
                <w:sz w:val="24"/>
              </w:rPr>
              <w:t xml:space="preserve"> </w:t>
            </w:r>
          </w:p>
        </w:tc>
      </w:tr>
      <w:tr>
        <w:tblPrEx>
          <w:tblCellMar>
            <w:top w:w="0" w:type="dxa"/>
            <w:left w:w="108" w:type="dxa"/>
            <w:bottom w:w="0" w:type="dxa"/>
            <w:right w:w="108" w:type="dxa"/>
          </w:tblCellMar>
        </w:tblPrEx>
        <w:trPr>
          <w:cantSplit/>
          <w:trHeight w:val="529" w:hRule="exact"/>
        </w:trPr>
        <w:tc>
          <w:tcPr>
            <w:tcW w:w="4415" w:type="dxa"/>
            <w:vAlign w:val="center"/>
          </w:tcPr>
          <w:p>
            <w:pPr>
              <w:adjustRightInd w:val="0"/>
              <w:snapToGrid w:val="0"/>
              <w:spacing w:line="590" w:lineRule="exact"/>
              <w:rPr>
                <w:rFonts w:eastAsia="仿宋_GB2312"/>
                <w:sz w:val="24"/>
              </w:rPr>
            </w:pPr>
            <w:r>
              <w:rPr>
                <w:rFonts w:eastAsia="仿宋_GB2312"/>
                <w:sz w:val="24"/>
              </w:rPr>
              <w:t>电话：</w:t>
            </w:r>
            <w:r>
              <w:rPr>
                <w:rFonts w:hint="eastAsia" w:eastAsia="仿宋_GB2312"/>
                <w:sz w:val="24"/>
              </w:rPr>
              <w:t>0</w:t>
            </w:r>
            <w:r>
              <w:rPr>
                <w:rFonts w:eastAsia="仿宋_GB2312"/>
                <w:sz w:val="24"/>
              </w:rPr>
              <w:t>28</w:t>
            </w:r>
            <w:r>
              <w:rPr>
                <w:rFonts w:hint="eastAsia" w:eastAsia="仿宋_GB2312"/>
                <w:sz w:val="24"/>
              </w:rPr>
              <w:t>-</w:t>
            </w:r>
            <w:r>
              <w:rPr>
                <w:rFonts w:eastAsia="仿宋_GB2312"/>
                <w:sz w:val="24"/>
              </w:rPr>
              <w:t>84466890</w:t>
            </w:r>
          </w:p>
        </w:tc>
        <w:tc>
          <w:tcPr>
            <w:tcW w:w="5324" w:type="dxa"/>
            <w:vAlign w:val="center"/>
          </w:tcPr>
          <w:p>
            <w:pPr>
              <w:adjustRightInd w:val="0"/>
              <w:snapToGrid w:val="0"/>
              <w:spacing w:line="590" w:lineRule="exact"/>
              <w:rPr>
                <w:rFonts w:eastAsia="仿宋_GB2312"/>
                <w:sz w:val="24"/>
              </w:rPr>
            </w:pPr>
            <w:r>
              <w:rPr>
                <w:rFonts w:eastAsia="仿宋_GB2312"/>
                <w:sz w:val="24"/>
              </w:rPr>
              <w:t>电话：</w:t>
            </w:r>
            <w:r>
              <w:rPr>
                <w:rFonts w:hint="eastAsia" w:eastAsia="仿宋_GB2312"/>
                <w:sz w:val="24"/>
              </w:rPr>
              <w:t xml:space="preserve"> </w:t>
            </w:r>
          </w:p>
        </w:tc>
      </w:tr>
      <w:tr>
        <w:tblPrEx>
          <w:tblCellMar>
            <w:top w:w="0" w:type="dxa"/>
            <w:left w:w="108" w:type="dxa"/>
            <w:bottom w:w="0" w:type="dxa"/>
            <w:right w:w="108" w:type="dxa"/>
          </w:tblCellMar>
        </w:tblPrEx>
        <w:trPr>
          <w:cantSplit/>
          <w:trHeight w:val="1090" w:hRule="exact"/>
        </w:trPr>
        <w:tc>
          <w:tcPr>
            <w:tcW w:w="4415" w:type="dxa"/>
            <w:vAlign w:val="bottom"/>
          </w:tcPr>
          <w:p>
            <w:pPr>
              <w:adjustRightInd w:val="0"/>
              <w:snapToGrid w:val="0"/>
              <w:spacing w:line="590" w:lineRule="exact"/>
              <w:ind w:firstLine="480" w:firstLineChars="200"/>
              <w:rPr>
                <w:rFonts w:eastAsia="仿宋_GB2312"/>
                <w:sz w:val="24"/>
              </w:rPr>
            </w:pPr>
            <w:r>
              <w:rPr>
                <w:rFonts w:eastAsia="仿宋_GB2312"/>
                <w:sz w:val="24"/>
              </w:rPr>
              <w:t>年    月    日</w:t>
            </w:r>
          </w:p>
        </w:tc>
        <w:tc>
          <w:tcPr>
            <w:tcW w:w="5324" w:type="dxa"/>
            <w:vAlign w:val="bottom"/>
          </w:tcPr>
          <w:p>
            <w:pPr>
              <w:adjustRightInd w:val="0"/>
              <w:snapToGrid w:val="0"/>
              <w:spacing w:line="590" w:lineRule="exact"/>
              <w:ind w:firstLine="480" w:firstLineChars="200"/>
              <w:rPr>
                <w:rFonts w:eastAsia="仿宋_GB2312"/>
                <w:sz w:val="24"/>
              </w:rPr>
            </w:pPr>
          </w:p>
          <w:p>
            <w:pPr>
              <w:adjustRightInd w:val="0"/>
              <w:snapToGrid w:val="0"/>
              <w:spacing w:line="590" w:lineRule="exact"/>
              <w:ind w:firstLine="480" w:firstLineChars="200"/>
              <w:rPr>
                <w:rFonts w:eastAsia="仿宋_GB2312"/>
                <w:sz w:val="24"/>
              </w:rPr>
            </w:pPr>
            <w:r>
              <w:rPr>
                <w:rFonts w:eastAsia="仿宋_GB2312"/>
                <w:sz w:val="24"/>
              </w:rPr>
              <w:t xml:space="preserve">年    月    日 </w:t>
            </w:r>
          </w:p>
          <w:p>
            <w:pPr>
              <w:adjustRightInd w:val="0"/>
              <w:snapToGrid w:val="0"/>
              <w:spacing w:line="590" w:lineRule="exact"/>
              <w:ind w:firstLine="480" w:firstLineChars="200"/>
              <w:rPr>
                <w:rFonts w:eastAsia="仿宋_GB2312"/>
                <w:sz w:val="24"/>
              </w:rPr>
            </w:pPr>
            <w:r>
              <w:rPr>
                <w:rFonts w:eastAsia="仿宋_GB2312"/>
                <w:sz w:val="24"/>
              </w:rPr>
              <w:t>年    月    日</w:t>
            </w:r>
          </w:p>
          <w:p>
            <w:pPr>
              <w:adjustRightInd w:val="0"/>
              <w:snapToGrid w:val="0"/>
              <w:spacing w:line="590" w:lineRule="exact"/>
              <w:ind w:firstLine="480" w:firstLineChars="200"/>
              <w:rPr>
                <w:rFonts w:eastAsia="仿宋_GB2312"/>
                <w:sz w:val="24"/>
              </w:rPr>
            </w:pPr>
          </w:p>
          <w:p>
            <w:pPr>
              <w:adjustRightInd w:val="0"/>
              <w:snapToGrid w:val="0"/>
              <w:spacing w:line="590" w:lineRule="exact"/>
              <w:ind w:firstLine="480" w:firstLineChars="200"/>
              <w:rPr>
                <w:rFonts w:eastAsia="仿宋_GB2312"/>
                <w:sz w:val="24"/>
              </w:rPr>
            </w:pPr>
          </w:p>
          <w:p>
            <w:pPr>
              <w:adjustRightInd w:val="0"/>
              <w:snapToGrid w:val="0"/>
              <w:spacing w:line="590" w:lineRule="exact"/>
              <w:ind w:firstLine="480" w:firstLineChars="200"/>
              <w:rPr>
                <w:rFonts w:eastAsia="仿宋_GB2312"/>
                <w:sz w:val="24"/>
              </w:rPr>
            </w:pPr>
          </w:p>
          <w:p>
            <w:pPr>
              <w:adjustRightInd w:val="0"/>
              <w:snapToGrid w:val="0"/>
              <w:spacing w:line="590" w:lineRule="exact"/>
              <w:ind w:firstLine="480" w:firstLineChars="200"/>
              <w:rPr>
                <w:rFonts w:eastAsia="仿宋_GB2312"/>
                <w:sz w:val="24"/>
              </w:rPr>
            </w:pPr>
            <w:r>
              <w:rPr>
                <w:rFonts w:eastAsia="仿宋_GB2312"/>
                <w:sz w:val="24"/>
              </w:rPr>
              <w:t>年    月    日</w:t>
            </w:r>
          </w:p>
        </w:tc>
      </w:tr>
    </w:tbl>
    <w:p>
      <w:pPr>
        <w:adjustRightInd w:val="0"/>
        <w:snapToGrid w:val="0"/>
        <w:spacing w:line="590" w:lineRule="exact"/>
        <w:rPr>
          <w:rFonts w:eastAsia="仿宋_GB2312"/>
          <w:sz w:val="24"/>
        </w:rPr>
      </w:pPr>
    </w:p>
    <w:sectPr>
      <w:headerReference r:id="rId3" w:type="default"/>
      <w:footerReference r:id="rId4" w:type="default"/>
      <w:pgSz w:w="11907" w:h="16840"/>
      <w:pgMar w:top="1440" w:right="1080" w:bottom="1440" w:left="1080" w:header="386" w:footer="74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47"/>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NTAyY2ZhNDViODliYTllOTMzMTVkNzg5MzNhODgifQ=="/>
  </w:docVars>
  <w:rsids>
    <w:rsidRoot w:val="007B11E8"/>
    <w:rsid w:val="00055631"/>
    <w:rsid w:val="00071A3F"/>
    <w:rsid w:val="000B03E5"/>
    <w:rsid w:val="000B3E41"/>
    <w:rsid w:val="000B48A6"/>
    <w:rsid w:val="000D1E6B"/>
    <w:rsid w:val="00104B00"/>
    <w:rsid w:val="00110337"/>
    <w:rsid w:val="001177A1"/>
    <w:rsid w:val="00120F8E"/>
    <w:rsid w:val="00121EAE"/>
    <w:rsid w:val="00133B84"/>
    <w:rsid w:val="001368CD"/>
    <w:rsid w:val="0014467C"/>
    <w:rsid w:val="00151C3E"/>
    <w:rsid w:val="00181B42"/>
    <w:rsid w:val="001A417C"/>
    <w:rsid w:val="001B0F79"/>
    <w:rsid w:val="001D410F"/>
    <w:rsid w:val="001F7A4D"/>
    <w:rsid w:val="0021499C"/>
    <w:rsid w:val="00284EA0"/>
    <w:rsid w:val="002C7813"/>
    <w:rsid w:val="002F0700"/>
    <w:rsid w:val="00303B04"/>
    <w:rsid w:val="003062F1"/>
    <w:rsid w:val="0031291E"/>
    <w:rsid w:val="0031362F"/>
    <w:rsid w:val="003168F7"/>
    <w:rsid w:val="00320193"/>
    <w:rsid w:val="003225C6"/>
    <w:rsid w:val="00322808"/>
    <w:rsid w:val="00323284"/>
    <w:rsid w:val="003347B7"/>
    <w:rsid w:val="003379AE"/>
    <w:rsid w:val="00345115"/>
    <w:rsid w:val="00345EBE"/>
    <w:rsid w:val="00361C6B"/>
    <w:rsid w:val="00390696"/>
    <w:rsid w:val="003B2EAD"/>
    <w:rsid w:val="003D366B"/>
    <w:rsid w:val="004023F4"/>
    <w:rsid w:val="00402AFD"/>
    <w:rsid w:val="00414972"/>
    <w:rsid w:val="004301C5"/>
    <w:rsid w:val="00451750"/>
    <w:rsid w:val="004546AC"/>
    <w:rsid w:val="00454D73"/>
    <w:rsid w:val="004A2F70"/>
    <w:rsid w:val="004C4073"/>
    <w:rsid w:val="004F5D27"/>
    <w:rsid w:val="00532BC9"/>
    <w:rsid w:val="00535D25"/>
    <w:rsid w:val="005553D8"/>
    <w:rsid w:val="005764EE"/>
    <w:rsid w:val="0059022C"/>
    <w:rsid w:val="005C257A"/>
    <w:rsid w:val="005D5E1D"/>
    <w:rsid w:val="005D7B4E"/>
    <w:rsid w:val="00605B5F"/>
    <w:rsid w:val="00681F1D"/>
    <w:rsid w:val="006A7264"/>
    <w:rsid w:val="006D59F0"/>
    <w:rsid w:val="00706E44"/>
    <w:rsid w:val="00713A2E"/>
    <w:rsid w:val="007151D6"/>
    <w:rsid w:val="007156A3"/>
    <w:rsid w:val="00725D38"/>
    <w:rsid w:val="00737D3C"/>
    <w:rsid w:val="00754C06"/>
    <w:rsid w:val="007A4660"/>
    <w:rsid w:val="007B11E8"/>
    <w:rsid w:val="007B23FF"/>
    <w:rsid w:val="007E4F75"/>
    <w:rsid w:val="007E72C9"/>
    <w:rsid w:val="007F6012"/>
    <w:rsid w:val="00802077"/>
    <w:rsid w:val="00813015"/>
    <w:rsid w:val="00816E86"/>
    <w:rsid w:val="0083577B"/>
    <w:rsid w:val="00836C45"/>
    <w:rsid w:val="00844A8E"/>
    <w:rsid w:val="008600C7"/>
    <w:rsid w:val="0086242B"/>
    <w:rsid w:val="00871249"/>
    <w:rsid w:val="00873145"/>
    <w:rsid w:val="008C7E34"/>
    <w:rsid w:val="008E21F2"/>
    <w:rsid w:val="0090236A"/>
    <w:rsid w:val="00932AFC"/>
    <w:rsid w:val="00965ED5"/>
    <w:rsid w:val="00975278"/>
    <w:rsid w:val="009876E7"/>
    <w:rsid w:val="009D35D0"/>
    <w:rsid w:val="009D3EAB"/>
    <w:rsid w:val="009D6B3F"/>
    <w:rsid w:val="009E4428"/>
    <w:rsid w:val="009F0640"/>
    <w:rsid w:val="009F532B"/>
    <w:rsid w:val="00A11BFF"/>
    <w:rsid w:val="00A506A9"/>
    <w:rsid w:val="00A77C4B"/>
    <w:rsid w:val="00A81734"/>
    <w:rsid w:val="00A840F7"/>
    <w:rsid w:val="00A9005D"/>
    <w:rsid w:val="00A936A6"/>
    <w:rsid w:val="00A959D9"/>
    <w:rsid w:val="00AC5967"/>
    <w:rsid w:val="00AD1194"/>
    <w:rsid w:val="00AD11F7"/>
    <w:rsid w:val="00AD79CD"/>
    <w:rsid w:val="00AE38B3"/>
    <w:rsid w:val="00AE5B5C"/>
    <w:rsid w:val="00B058D7"/>
    <w:rsid w:val="00B261BC"/>
    <w:rsid w:val="00B36F3B"/>
    <w:rsid w:val="00B3745F"/>
    <w:rsid w:val="00B37DF4"/>
    <w:rsid w:val="00B820C7"/>
    <w:rsid w:val="00B87255"/>
    <w:rsid w:val="00BB2025"/>
    <w:rsid w:val="00BB2AC9"/>
    <w:rsid w:val="00C10E7D"/>
    <w:rsid w:val="00C274B6"/>
    <w:rsid w:val="00C525C0"/>
    <w:rsid w:val="00C90474"/>
    <w:rsid w:val="00CB506F"/>
    <w:rsid w:val="00CF1356"/>
    <w:rsid w:val="00CF14BC"/>
    <w:rsid w:val="00D3235A"/>
    <w:rsid w:val="00D42BCE"/>
    <w:rsid w:val="00D4614F"/>
    <w:rsid w:val="00D740FD"/>
    <w:rsid w:val="00DD688A"/>
    <w:rsid w:val="00DD7247"/>
    <w:rsid w:val="00DE1820"/>
    <w:rsid w:val="00DF33AC"/>
    <w:rsid w:val="00DF3A79"/>
    <w:rsid w:val="00E014FF"/>
    <w:rsid w:val="00E1430F"/>
    <w:rsid w:val="00E23784"/>
    <w:rsid w:val="00E41609"/>
    <w:rsid w:val="00E42C37"/>
    <w:rsid w:val="00E43713"/>
    <w:rsid w:val="00E46B2D"/>
    <w:rsid w:val="00E5468E"/>
    <w:rsid w:val="00E7738D"/>
    <w:rsid w:val="00EB0228"/>
    <w:rsid w:val="00EB3F57"/>
    <w:rsid w:val="00ED76F5"/>
    <w:rsid w:val="00EF19EC"/>
    <w:rsid w:val="00EF2200"/>
    <w:rsid w:val="00F239D3"/>
    <w:rsid w:val="00F41763"/>
    <w:rsid w:val="00F8686B"/>
    <w:rsid w:val="00F96F66"/>
    <w:rsid w:val="00FC5B9A"/>
    <w:rsid w:val="00FC754B"/>
    <w:rsid w:val="00FD588D"/>
    <w:rsid w:val="00FE58C6"/>
    <w:rsid w:val="03361802"/>
    <w:rsid w:val="05F34957"/>
    <w:rsid w:val="063D4E27"/>
    <w:rsid w:val="0656572F"/>
    <w:rsid w:val="0B7E67D9"/>
    <w:rsid w:val="0DA224EA"/>
    <w:rsid w:val="0E3C103C"/>
    <w:rsid w:val="0ED65AFB"/>
    <w:rsid w:val="102274F8"/>
    <w:rsid w:val="10FF017D"/>
    <w:rsid w:val="115D6745"/>
    <w:rsid w:val="116C6B2F"/>
    <w:rsid w:val="11A008CF"/>
    <w:rsid w:val="13A4798B"/>
    <w:rsid w:val="145D07EA"/>
    <w:rsid w:val="15C7344E"/>
    <w:rsid w:val="161A07DA"/>
    <w:rsid w:val="16DD3639"/>
    <w:rsid w:val="180706A5"/>
    <w:rsid w:val="1AAF7CE3"/>
    <w:rsid w:val="1BA821FC"/>
    <w:rsid w:val="215F2A7B"/>
    <w:rsid w:val="21FB3688"/>
    <w:rsid w:val="22A516DD"/>
    <w:rsid w:val="24723083"/>
    <w:rsid w:val="24ED0B9D"/>
    <w:rsid w:val="26DF357D"/>
    <w:rsid w:val="28382301"/>
    <w:rsid w:val="29654DAF"/>
    <w:rsid w:val="29CE36E4"/>
    <w:rsid w:val="2A6E7149"/>
    <w:rsid w:val="2B7C280B"/>
    <w:rsid w:val="2C662406"/>
    <w:rsid w:val="30FA31AD"/>
    <w:rsid w:val="37EB7E4F"/>
    <w:rsid w:val="3AB72FC7"/>
    <w:rsid w:val="3B9D4F34"/>
    <w:rsid w:val="3CA76E95"/>
    <w:rsid w:val="3DA758C5"/>
    <w:rsid w:val="3F013A99"/>
    <w:rsid w:val="3F2C14D0"/>
    <w:rsid w:val="3F387260"/>
    <w:rsid w:val="3FCB5933"/>
    <w:rsid w:val="45EFF57A"/>
    <w:rsid w:val="467054AE"/>
    <w:rsid w:val="475E31F5"/>
    <w:rsid w:val="47FF79A9"/>
    <w:rsid w:val="4A945D0F"/>
    <w:rsid w:val="4ACC01E9"/>
    <w:rsid w:val="4B8B6007"/>
    <w:rsid w:val="4D8F1AEA"/>
    <w:rsid w:val="502030D4"/>
    <w:rsid w:val="50B31F94"/>
    <w:rsid w:val="53D23438"/>
    <w:rsid w:val="545033D7"/>
    <w:rsid w:val="548712B9"/>
    <w:rsid w:val="553234D3"/>
    <w:rsid w:val="555665FD"/>
    <w:rsid w:val="556E4032"/>
    <w:rsid w:val="55A52046"/>
    <w:rsid w:val="5799512D"/>
    <w:rsid w:val="594A0108"/>
    <w:rsid w:val="5CC232F3"/>
    <w:rsid w:val="5D287A52"/>
    <w:rsid w:val="61EF4B4F"/>
    <w:rsid w:val="61FC1B84"/>
    <w:rsid w:val="630E3845"/>
    <w:rsid w:val="65361D6E"/>
    <w:rsid w:val="66DD0197"/>
    <w:rsid w:val="69425930"/>
    <w:rsid w:val="6A5555BD"/>
    <w:rsid w:val="6AE42C51"/>
    <w:rsid w:val="6B8E4AE7"/>
    <w:rsid w:val="6BED0E71"/>
    <w:rsid w:val="6D1660C1"/>
    <w:rsid w:val="6E165BE4"/>
    <w:rsid w:val="6F326A04"/>
    <w:rsid w:val="72380077"/>
    <w:rsid w:val="739A5E34"/>
    <w:rsid w:val="73DE313B"/>
    <w:rsid w:val="745B0739"/>
    <w:rsid w:val="753B04B8"/>
    <w:rsid w:val="759A405B"/>
    <w:rsid w:val="769A0A14"/>
    <w:rsid w:val="76BE41CC"/>
    <w:rsid w:val="77ABA70C"/>
    <w:rsid w:val="78D13B3A"/>
    <w:rsid w:val="78EC001F"/>
    <w:rsid w:val="79C9376B"/>
    <w:rsid w:val="7D595EE0"/>
    <w:rsid w:val="7D641B42"/>
    <w:rsid w:val="7D9F7568"/>
    <w:rsid w:val="7DBF2A8B"/>
    <w:rsid w:val="7E8F23EF"/>
    <w:rsid w:val="7E927C1E"/>
    <w:rsid w:val="7EDC479F"/>
    <w:rsid w:val="DD7B41EA"/>
    <w:rsid w:val="DFEFB907"/>
    <w:rsid w:val="E1FF1B89"/>
    <w:rsid w:val="EFFF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b/>
      <w:sz w:val="32"/>
    </w:rPr>
  </w:style>
  <w:style w:type="paragraph" w:styleId="3">
    <w:name w:val="annotation text"/>
    <w:basedOn w:val="1"/>
    <w:unhideWhenUsed/>
    <w:qFormat/>
    <w:uiPriority w:val="0"/>
    <w:pPr>
      <w:jc w:val="left"/>
    </w:pPr>
    <w:rPr>
      <w:rFonts w:eastAsia="仿宋_GB2312"/>
      <w:sz w:val="30"/>
      <w:szCs w:val="30"/>
    </w:rPr>
  </w:style>
  <w:style w:type="paragraph" w:styleId="4">
    <w:name w:val="Body Text Indent"/>
    <w:basedOn w:val="1"/>
    <w:qFormat/>
    <w:uiPriority w:val="0"/>
    <w:pPr>
      <w:spacing w:line="720" w:lineRule="auto"/>
      <w:ind w:firstLine="680" w:firstLineChars="200"/>
    </w:pPr>
    <w:rPr>
      <w:rFonts w:eastAsia="仿宋_GB2312"/>
      <w:spacing w:val="20"/>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5">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401</Words>
  <Characters>2290</Characters>
  <Lines>19</Lines>
  <Paragraphs>5</Paragraphs>
  <TotalTime>9</TotalTime>
  <ScaleCrop>false</ScaleCrop>
  <LinksUpToDate>false</LinksUpToDate>
  <CharactersWithSpaces>2686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2023-12-26T09:44:00Z</dcterms:created>
  <dc:creator>island</dc:creator>
  <cp:lastModifiedBy>龚屏</cp:lastModifiedBy>
  <cp:lastPrinted>2019-07-30T06:59:00Z</cp:lastPrinted>
  <dcterms:modified xsi:type="dcterms:W3CDTF">2023-12-28T09:08:59Z</dcterms:modified>
  <dc:title>审计业务约定书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631F07BB808247779B4B25CF7CFDCB91_13</vt:lpwstr>
  </property>
</Properties>
</file>